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EF" w:rsidRDefault="00D40CEF" w:rsidP="00D40CEF">
      <w:pPr>
        <w:pStyle w:val="10"/>
        <w:keepNext/>
        <w:keepLines/>
        <w:shd w:val="clear" w:color="auto" w:fill="auto"/>
        <w:spacing w:after="0" w:line="360" w:lineRule="auto"/>
        <w:ind w:left="10342" w:right="678"/>
      </w:pPr>
      <w:r>
        <w:t>УТВЕРЖДАЮ</w:t>
      </w:r>
    </w:p>
    <w:p w:rsidR="00D40CEF" w:rsidRDefault="00D40CEF" w:rsidP="00D40CEF">
      <w:pPr>
        <w:pStyle w:val="10"/>
        <w:keepNext/>
        <w:keepLines/>
        <w:shd w:val="clear" w:color="auto" w:fill="auto"/>
        <w:spacing w:after="0" w:line="360" w:lineRule="auto"/>
        <w:ind w:left="10342" w:right="678"/>
      </w:pPr>
      <w:r>
        <w:t xml:space="preserve">Заместитель Главы Эвенкийского муниципального района по социальным вопросам </w:t>
      </w:r>
    </w:p>
    <w:p w:rsidR="00D40CEF" w:rsidRDefault="00D40CEF" w:rsidP="00D40CEF">
      <w:pPr>
        <w:pStyle w:val="10"/>
        <w:keepNext/>
        <w:keepLines/>
        <w:shd w:val="clear" w:color="auto" w:fill="auto"/>
        <w:spacing w:after="0" w:line="360" w:lineRule="auto"/>
        <w:ind w:left="10342" w:right="678"/>
      </w:pPr>
      <w:r>
        <w:t>_______________А.В. Николаенко</w:t>
      </w:r>
    </w:p>
    <w:p w:rsidR="00D40CEF" w:rsidRDefault="00D40CEF" w:rsidP="00D40CEF">
      <w:pPr>
        <w:pStyle w:val="10"/>
        <w:keepNext/>
        <w:keepLines/>
        <w:shd w:val="clear" w:color="auto" w:fill="auto"/>
        <w:spacing w:after="0" w:line="360" w:lineRule="auto"/>
        <w:ind w:left="10342" w:right="678"/>
      </w:pPr>
      <w:r>
        <w:t>«___»____________2021</w:t>
      </w:r>
    </w:p>
    <w:p w:rsidR="00D40CEF" w:rsidRDefault="00D40CEF" w:rsidP="00D40CEF">
      <w:pPr>
        <w:pStyle w:val="10"/>
        <w:keepNext/>
        <w:keepLines/>
        <w:shd w:val="clear" w:color="auto" w:fill="auto"/>
        <w:spacing w:after="0" w:line="360" w:lineRule="auto"/>
        <w:ind w:left="10342" w:right="678"/>
      </w:pPr>
    </w:p>
    <w:p w:rsidR="00D40CEF" w:rsidRDefault="00D40CEF" w:rsidP="00D40CEF">
      <w:pPr>
        <w:pStyle w:val="20"/>
        <w:keepNext/>
        <w:keepLines/>
        <w:shd w:val="clear" w:color="auto" w:fill="auto"/>
        <w:spacing w:before="0" w:after="245"/>
        <w:ind w:left="820"/>
      </w:pPr>
      <w:bookmarkStart w:id="0" w:name="bookmark1"/>
      <w:r>
        <w:t>Дорожная карта по внедрению на территории Эвенкийского муниципального района системы персонифицированного финансирования дополнительного образования детей в 2021 году</w:t>
      </w:r>
      <w:bookmarkEnd w:id="0"/>
    </w:p>
    <w:tbl>
      <w:tblPr>
        <w:tblStyle w:val="a3"/>
        <w:tblW w:w="14905" w:type="dxa"/>
        <w:tblInd w:w="534" w:type="dxa"/>
        <w:tblLayout w:type="fixed"/>
        <w:tblLook w:val="04A0"/>
      </w:tblPr>
      <w:tblGrid>
        <w:gridCol w:w="831"/>
        <w:gridCol w:w="2807"/>
        <w:gridCol w:w="1320"/>
        <w:gridCol w:w="1560"/>
        <w:gridCol w:w="5103"/>
        <w:gridCol w:w="1559"/>
        <w:gridCol w:w="1725"/>
      </w:tblGrid>
      <w:tr w:rsidR="00D40CEF" w:rsidRPr="00D40CEF" w:rsidTr="00D40CEF">
        <w:tc>
          <w:tcPr>
            <w:tcW w:w="831" w:type="dxa"/>
          </w:tcPr>
          <w:p w:rsidR="00D40CEF" w:rsidRPr="00D40CEF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</w:pPr>
            <w:r w:rsidRPr="00D40CEF">
              <w:t>Этап</w:t>
            </w:r>
          </w:p>
        </w:tc>
        <w:tc>
          <w:tcPr>
            <w:tcW w:w="2807" w:type="dxa"/>
          </w:tcPr>
          <w:p w:rsidR="00D40CEF" w:rsidRPr="00D40CEF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</w:pPr>
            <w:r w:rsidRPr="00D40CEF">
              <w:t>Название этапа</w:t>
            </w:r>
          </w:p>
        </w:tc>
        <w:tc>
          <w:tcPr>
            <w:tcW w:w="1320" w:type="dxa"/>
          </w:tcPr>
          <w:p w:rsidR="00D40CEF" w:rsidRPr="00D40CEF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</w:pPr>
            <w:r w:rsidRPr="00D40CEF">
              <w:t>Срок выполнения этапа</w:t>
            </w:r>
          </w:p>
        </w:tc>
        <w:tc>
          <w:tcPr>
            <w:tcW w:w="1560" w:type="dxa"/>
          </w:tcPr>
          <w:p w:rsidR="00D40CEF" w:rsidRPr="00D40CEF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</w:pPr>
            <w:r w:rsidRPr="00D40CEF">
              <w:t>Результат, образец документа</w:t>
            </w:r>
          </w:p>
        </w:tc>
        <w:tc>
          <w:tcPr>
            <w:tcW w:w="5103" w:type="dxa"/>
          </w:tcPr>
          <w:p w:rsidR="00D40CEF" w:rsidRPr="00D40CEF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</w:pPr>
            <w:r w:rsidRPr="00D40CEF">
              <w:t>Комментарий экспертов</w:t>
            </w:r>
          </w:p>
        </w:tc>
        <w:tc>
          <w:tcPr>
            <w:tcW w:w="1559" w:type="dxa"/>
          </w:tcPr>
          <w:p w:rsidR="00D40CEF" w:rsidRPr="00D40CEF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</w:pPr>
            <w:r w:rsidRPr="00D40CEF">
              <w:t>Ответственный/участники</w:t>
            </w:r>
          </w:p>
        </w:tc>
        <w:tc>
          <w:tcPr>
            <w:tcW w:w="1725" w:type="dxa"/>
          </w:tcPr>
          <w:p w:rsidR="00D40CEF" w:rsidRPr="00D40CEF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</w:pPr>
            <w:r w:rsidRPr="00D40CEF">
              <w:t>Примечание</w:t>
            </w:r>
          </w:p>
        </w:tc>
      </w:tr>
      <w:tr w:rsidR="00D40CEF" w:rsidRPr="005A0B99" w:rsidTr="00D40CEF">
        <w:tc>
          <w:tcPr>
            <w:tcW w:w="831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Шаг 1.1</w:t>
            </w:r>
          </w:p>
        </w:tc>
        <w:tc>
          <w:tcPr>
            <w:tcW w:w="2807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rStyle w:val="3"/>
                <w:rFonts w:eastAsia="Courier New"/>
                <w:b w:val="0"/>
                <w:color w:val="auto"/>
                <w:sz w:val="22"/>
                <w:szCs w:val="22"/>
              </w:rPr>
              <w:t>Подписание соглашений между министерством образования Красноярского края и муниципальными образованиями об обязательствах последних по достижению показателей национального проекта «Образование»</w:t>
            </w:r>
          </w:p>
        </w:tc>
        <w:tc>
          <w:tcPr>
            <w:tcW w:w="132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rStyle w:val="21"/>
                <w:rFonts w:eastAsia="Courier New"/>
                <w:b w:val="0"/>
                <w:color w:val="auto"/>
                <w:sz w:val="22"/>
                <w:szCs w:val="22"/>
              </w:rPr>
              <w:t>10.03.2021</w:t>
            </w:r>
          </w:p>
        </w:tc>
        <w:tc>
          <w:tcPr>
            <w:tcW w:w="156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rStyle w:val="21"/>
                <w:rFonts w:eastAsia="Courier New"/>
                <w:b w:val="0"/>
                <w:color w:val="auto"/>
                <w:sz w:val="22"/>
                <w:szCs w:val="22"/>
              </w:rPr>
              <w:t>Подписанное соглашение между министерством образования Красноярского края и муниципальными образованиями об обязательствах последних по достижению показателей Целевой модели ДОД</w:t>
            </w:r>
          </w:p>
        </w:tc>
        <w:tc>
          <w:tcPr>
            <w:tcW w:w="5103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rStyle w:val="21"/>
                <w:rFonts w:eastAsia="Courier New"/>
                <w:b w:val="0"/>
                <w:color w:val="auto"/>
                <w:sz w:val="22"/>
                <w:szCs w:val="22"/>
              </w:rPr>
            </w:pPr>
            <w:r w:rsidRPr="005A0B99">
              <w:rPr>
                <w:rStyle w:val="21"/>
                <w:rFonts w:eastAsia="Courier New"/>
                <w:b w:val="0"/>
                <w:color w:val="auto"/>
                <w:sz w:val="22"/>
                <w:szCs w:val="22"/>
              </w:rPr>
              <w:t>Одной из лучших практик реализации системы персонифицированного финансирования является заключение соглашений о реализации регионального проекта «Успех каждого ребенка» между органом исполнительной власти субъекта Российской Федерации, осуществляющего управление в сфере образования и администрациями муниципальных образований.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rStyle w:val="21"/>
                <w:rFonts w:eastAsia="Courier New"/>
                <w:b w:val="0"/>
                <w:color w:val="auto"/>
                <w:sz w:val="22"/>
                <w:szCs w:val="22"/>
              </w:rPr>
            </w:pPr>
            <w:r w:rsidRPr="005A0B99">
              <w:rPr>
                <w:rStyle w:val="21"/>
                <w:rFonts w:eastAsia="Courier New"/>
                <w:b w:val="0"/>
                <w:color w:val="auto"/>
                <w:sz w:val="22"/>
                <w:szCs w:val="22"/>
              </w:rPr>
              <w:t>Приложениями к соглашениям в обязательном порядке должны быть целевые индикаторы, которые каждое муниципальное образование обязуется достичь</w:t>
            </w:r>
          </w:p>
        </w:tc>
        <w:tc>
          <w:tcPr>
            <w:tcW w:w="1559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Черкасов А.Ю.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Шаповалова О.С.</w:t>
            </w:r>
          </w:p>
        </w:tc>
        <w:tc>
          <w:tcPr>
            <w:tcW w:w="1725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По состоянию на 10.03. проекта соглашения нет</w:t>
            </w:r>
          </w:p>
        </w:tc>
      </w:tr>
      <w:tr w:rsidR="00D40CEF" w:rsidRPr="005A0B99" w:rsidTr="00D40CEF">
        <w:tc>
          <w:tcPr>
            <w:tcW w:w="831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Шаг 1.2</w:t>
            </w:r>
          </w:p>
        </w:tc>
        <w:tc>
          <w:tcPr>
            <w:tcW w:w="2807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Подписание соглашений между Региональным модельным центром дополнительного образования детей Красноярского края и </w:t>
            </w:r>
            <w:r w:rsidRPr="005A0B99">
              <w:rPr>
                <w:b w:val="0"/>
              </w:rPr>
              <w:lastRenderedPageBreak/>
              <w:t>муниципальными опорными центрами о взаимодействии при реализации Целевой модели ДОД</w:t>
            </w:r>
          </w:p>
        </w:tc>
        <w:tc>
          <w:tcPr>
            <w:tcW w:w="132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10.03.2021</w:t>
            </w:r>
          </w:p>
        </w:tc>
        <w:tc>
          <w:tcPr>
            <w:tcW w:w="156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Подписанное соглашение Региональным модельным центром дополнительн</w:t>
            </w:r>
            <w:r w:rsidRPr="005A0B99">
              <w:rPr>
                <w:b w:val="0"/>
              </w:rPr>
              <w:lastRenderedPageBreak/>
              <w:t>ого образования детей Красноярского края и муниципальными опорными центрами о взаимодействии при реализации Целевой модели ДОД</w:t>
            </w:r>
          </w:p>
        </w:tc>
        <w:tc>
          <w:tcPr>
            <w:tcW w:w="5103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 xml:space="preserve">Одной из лучших практик реализации системы персонифицированного финансирования является заключение соглашений между Региональным модельным центром и Муниципальными опорными центрами. Приложениями к соглашениям в обязательном порядке должны быть </w:t>
            </w:r>
            <w:r w:rsidRPr="005A0B99">
              <w:rPr>
                <w:b w:val="0"/>
              </w:rPr>
              <w:lastRenderedPageBreak/>
              <w:t>дорожные карты с контрольными сроками выполнения мероприятий по внедрению целевой модели, в том числе и внедрения системы персонифицированного финансирования и формы отчетности. Муниципальные опорные центры ежеквартально отчитываются перед Региональным модельным центром дополнительного образования детей по заранее установленной форме по вопросам реализации мероприятий дорожной карты</w:t>
            </w:r>
          </w:p>
        </w:tc>
        <w:tc>
          <w:tcPr>
            <w:tcW w:w="1559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 xml:space="preserve">Кобизкая А.Н. 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Чернова О.Н.</w:t>
            </w:r>
          </w:p>
        </w:tc>
        <w:tc>
          <w:tcPr>
            <w:tcW w:w="1725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По состоянию на 10.03. проекта соглашения нет</w:t>
            </w:r>
          </w:p>
        </w:tc>
      </w:tr>
      <w:tr w:rsidR="00D40CEF" w:rsidRPr="005A0B99" w:rsidTr="00D40CEF">
        <w:tc>
          <w:tcPr>
            <w:tcW w:w="831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Шаг 2.1</w:t>
            </w:r>
          </w:p>
        </w:tc>
        <w:tc>
          <w:tcPr>
            <w:tcW w:w="2807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Подготовка списка членов рабочей группы по внедрению персонифицированного финансирования</w:t>
            </w:r>
          </w:p>
        </w:tc>
        <w:tc>
          <w:tcPr>
            <w:tcW w:w="132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19.03.2021</w:t>
            </w:r>
          </w:p>
        </w:tc>
        <w:tc>
          <w:tcPr>
            <w:tcW w:w="156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Утверждены составы и регламенты рабочих групп, назначены ответственные за внедрение персонифицированного финансирования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5103" w:type="dxa"/>
            <w:vMerge w:val="restart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5A0B99">
              <w:rPr>
                <w:b w:val="0"/>
              </w:rPr>
              <w:t>В ходе анализа выявлен недостаточный уровень проектного управления в муниципальных образованиях при реализации целевой модели и системы персонифицированного финансирования, в том числе недостаточное межведомственное взаимодействие.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5A0B99">
              <w:rPr>
                <w:b w:val="0"/>
              </w:rPr>
              <w:t>Для устранения такой проблемы необходимо создание муниципальной межведомственной рабочей группы, координирующей действия различных ОМСУ по внедрению целевой модели и системы персонифицированного финансирования.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5A0B99">
              <w:rPr>
                <w:b w:val="0"/>
              </w:rPr>
              <w:t xml:space="preserve">Как правило, муниципальная межведомственная рабочая группа создается распоряжением главы администрации муниципального образования и включает в себя заместителя главы муниципального образования по социальным вопросам, а также руководителей органов местного самоуправления, осуществляющих управление в сфере образования, культуры, спорта, финансов, представителей муниципального опорного центра дополнительного образования детей, образовательных организаций, включенных в систему персонифицированного финансирования, представителей общественно-деловых объединений. Должен быть также разработан Регламент деятельности муниципальной межведомственной рабочей группы и назначен </w:t>
            </w:r>
            <w:r w:rsidRPr="005A0B99">
              <w:rPr>
                <w:b w:val="0"/>
              </w:rPr>
              <w:lastRenderedPageBreak/>
              <w:t>ответственный в муниципальном образовании за внедрение персонифицированного финансирования.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5A0B99">
              <w:rPr>
                <w:b w:val="0"/>
              </w:rPr>
              <w:t>Для эффективной работы группы рекомендуется утвердить график совещаний муниципальной межведомственной рабочей группы на 2-3 месяца, а также проводить фиксацию решений, принятых рабочей группой, протоколом совещания с перечнем поручений и назначением ответственных и сроков.</w:t>
            </w:r>
          </w:p>
        </w:tc>
        <w:tc>
          <w:tcPr>
            <w:tcW w:w="1559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Николаенко А.В. Кобизкая А.Н.</w:t>
            </w:r>
          </w:p>
        </w:tc>
        <w:tc>
          <w:tcPr>
            <w:tcW w:w="1725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D40CEF" w:rsidRPr="005A0B99" w:rsidTr="00D40CEF">
        <w:tc>
          <w:tcPr>
            <w:tcW w:w="831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Шаг 2.2</w:t>
            </w:r>
          </w:p>
        </w:tc>
        <w:tc>
          <w:tcPr>
            <w:tcW w:w="2807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Создание межведомственных рабочих групп по внедрению и реализации Целевой модели ДОД (в том числе внедрению ПФ ДОД)</w:t>
            </w:r>
          </w:p>
        </w:tc>
        <w:tc>
          <w:tcPr>
            <w:tcW w:w="132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19.03.2021</w:t>
            </w:r>
          </w:p>
        </w:tc>
        <w:tc>
          <w:tcPr>
            <w:tcW w:w="156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Распоряжение ОМСУ о создании Межведомственной рабочей группы и утверждении регламента его работы и состава совета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5103" w:type="dxa"/>
            <w:vMerge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1559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Николаенко А.В. Кобизкая А.Н.</w:t>
            </w:r>
          </w:p>
        </w:tc>
        <w:tc>
          <w:tcPr>
            <w:tcW w:w="1725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D40CEF" w:rsidRPr="005A0B99" w:rsidTr="00D40CEF">
        <w:tc>
          <w:tcPr>
            <w:tcW w:w="831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Шаг 3</w:t>
            </w:r>
          </w:p>
        </w:tc>
        <w:tc>
          <w:tcPr>
            <w:tcW w:w="2807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Расчет параметров персонифицированного финансирования: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- определение номинала, числа и категорий сертификатов;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- определение параметров для расчета нормативных затрат (нормативной стоимости) на реализацию дополнительных </w:t>
            </w:r>
            <w:proofErr w:type="spellStart"/>
            <w:r w:rsidRPr="005A0B99">
              <w:rPr>
                <w:b w:val="0"/>
              </w:rPr>
              <w:t>общеразвивающих</w:t>
            </w:r>
            <w:proofErr w:type="spellEnd"/>
            <w:r w:rsidRPr="005A0B99">
              <w:rPr>
                <w:b w:val="0"/>
              </w:rPr>
              <w:t xml:space="preserve"> программ на человеко-час;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- формирование сходимости модели ПФ ДОД;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- расчет разделения муниципального задания.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132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09.04.2021</w:t>
            </w:r>
          </w:p>
        </w:tc>
        <w:tc>
          <w:tcPr>
            <w:tcW w:w="156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Подготовленные расчеты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Таблицы </w:t>
            </w:r>
            <w:proofErr w:type="spellStart"/>
            <w:r w:rsidRPr="005A0B99">
              <w:rPr>
                <w:b w:val="0"/>
              </w:rPr>
              <w:t>Excel</w:t>
            </w:r>
            <w:proofErr w:type="spellEnd"/>
            <w:r w:rsidRPr="005A0B99">
              <w:rPr>
                <w:b w:val="0"/>
              </w:rPr>
              <w:t xml:space="preserve"> с подготовленными расчетами</w:t>
            </w:r>
          </w:p>
        </w:tc>
        <w:tc>
          <w:tcPr>
            <w:tcW w:w="5103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Задача подготовки расчетов - определить основные параметры, утверждаемые нормативно-правовыми актами муниципального образования (уполномоченного органа), и смоделировать предварительный перечень дополнительных </w:t>
            </w:r>
            <w:proofErr w:type="spellStart"/>
            <w:r w:rsidRPr="005A0B99">
              <w:rPr>
                <w:b w:val="0"/>
              </w:rPr>
              <w:t>общеразвивающих</w:t>
            </w:r>
            <w:proofErr w:type="spellEnd"/>
            <w:r w:rsidRPr="005A0B99">
              <w:rPr>
                <w:b w:val="0"/>
              </w:rPr>
              <w:t xml:space="preserve"> программ, реализуемых муниципальными учреждениями в целях удовлетворения потребности получателей услуг в качественном и доступном образовании, в рамках системы персонифицированного финансирования дополнительного образования детей: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определяя номинал сертификата, т.е. сумму денежных средств, выделенную ребенку, необходимо четко понимать, какой объем услуг может получить ребенок по сертификату. Поскольку в дополнительном образовании показатели объема муниципальных и государственных заданий учреждений устанавливаются в человеко-часах, то итоговый расчет номинала сертификата должен исходить из числа часов, которые ребенок сможет оплатить средствами сертификата;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При этом необходимо учитывать, что нормативные затраты (нормативная стоимость) на человеко-час реализации дополнительной </w:t>
            </w:r>
            <w:proofErr w:type="spellStart"/>
            <w:r w:rsidRPr="005A0B99">
              <w:rPr>
                <w:b w:val="0"/>
              </w:rPr>
              <w:t>общеразвивающей</w:t>
            </w:r>
            <w:proofErr w:type="spellEnd"/>
            <w:r w:rsidRPr="005A0B99">
              <w:rPr>
                <w:b w:val="0"/>
              </w:rPr>
              <w:t xml:space="preserve"> программы различаются в зависимости от направленности программы, и номинал сертификата может покрывать, например, 216 часов программы </w:t>
            </w:r>
            <w:proofErr w:type="spellStart"/>
            <w:r w:rsidRPr="005A0B99">
              <w:rPr>
                <w:b w:val="0"/>
              </w:rPr>
              <w:t>социально</w:t>
            </w:r>
            <w:r w:rsidRPr="005A0B99">
              <w:rPr>
                <w:b w:val="0"/>
              </w:rPr>
              <w:softHyphen/>
              <w:t>педагогической</w:t>
            </w:r>
            <w:proofErr w:type="spellEnd"/>
            <w:r w:rsidRPr="005A0B99">
              <w:rPr>
                <w:b w:val="0"/>
              </w:rPr>
              <w:t xml:space="preserve"> направленности и всего 180 часов - технической </w:t>
            </w:r>
            <w:r w:rsidRPr="005A0B99">
              <w:rPr>
                <w:b w:val="0"/>
              </w:rPr>
              <w:lastRenderedPageBreak/>
              <w:t>направленности. Рекомендуется устанавливать номинал достаточный для оплаты 108-216 часов обучения по всем направленностям;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 нормативные затраты (нормативная стоимость) на оказание образовательных услуг по реализации дополнительных общеобразовательных </w:t>
            </w:r>
            <w:proofErr w:type="spellStart"/>
            <w:r w:rsidRPr="005A0B99">
              <w:rPr>
                <w:b w:val="0"/>
              </w:rPr>
              <w:t>общеразвивающих</w:t>
            </w:r>
            <w:proofErr w:type="spellEnd"/>
            <w:r w:rsidRPr="005A0B99">
              <w:rPr>
                <w:b w:val="0"/>
              </w:rPr>
              <w:t xml:space="preserve"> программ определяются в расчете на человеко-час по каждой направленности образовательных программ. Важно отметить, что нормативные затраты (нормативная стоимость) на однородные программы, реализуемые на территории муниципального образования, должны быть одинаковы согласно Основным требованиям к внедрению модели персонифицированного финансирования, утвержденным Заместителем министра просвещения РФ Потехиной И.Н. 3 июля 2018 года №09-953. В связи с этим, недопустимо применение коэффициентов выравнивания и других инструментов дифференциации нормативных затрат в зависимости от учреждения;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расчет сходимости модели ПФ ДОД в упрощенной форме имитирует работу на портале «навигатор дополнительного образования детей» (далее - Навигатор) и предназначен для планирования муниципальным образованием достаточного объема образовательных услуг, позволяющего в полной мере реализовать полученные детьми сертификаты персонифицированного финансирования, и выявления необходимости (или отсутствия такой необходимости) изменения действующей структуры предоставления услуг дополнительного образования. При заполнении сходимости модели определяется достаточность устанавливаемого номинала для оплаты предлагаемых обучающимся дополнительных общеобразовательных </w:t>
            </w:r>
            <w:proofErr w:type="spellStart"/>
            <w:r w:rsidRPr="005A0B99">
              <w:rPr>
                <w:b w:val="0"/>
              </w:rPr>
              <w:t>общеразвивающих</w:t>
            </w:r>
            <w:proofErr w:type="spellEnd"/>
            <w:r w:rsidRPr="005A0B99">
              <w:rPr>
                <w:b w:val="0"/>
              </w:rPr>
              <w:t xml:space="preserve"> программ. При выявлении недостаточности номинала для оплаты программ и невозможности увеличить номинал сертификата исходя из финансового состояния муниципального образования, необходимо принять решение об </w:t>
            </w:r>
            <w:r w:rsidRPr="005A0B99">
              <w:rPr>
                <w:b w:val="0"/>
              </w:rPr>
              <w:lastRenderedPageBreak/>
              <w:t>уменьшении с начала учебного года объемов программ, стоимость которых не покрывается номиналом сертификата либо о переводе их на модульную систему. Изменение объема программы и (или) перевод ее на модульную систему должны быть согласованы с педагогом, реализующим данную программу. При использовании модульной системы это должно быть отражено в тексте программы. При этом получатель услуги не обязан осваивать все модули программы. Модули бывают параллельные и последовательные. Последовательные модули реализуются один после другого в определенной очередности. Например: Программа «Английский для начинающих» может содержать модуль 1 «учим алфавит», модуль 2 «первые слова», модуль 3 «диалог». Параллельные модули реализуются в течение всего года, разделяясь в расписании.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- расчет разделения муниципального задания проводится в целях подготовки изменений в решения о бюджете и последующего внесения изменений в муниципальные задания учреждений. Муниципалитету необходимо определить, по каким учреждениям и в каком объеме средства будут перераспределены на финансовое обеспечение внедрения персонифицированного финансирования с учетом ранее произведенных расходов и выполненных объемов услуг.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1559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Нартовская О.А.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Чернова  О.Н.</w:t>
            </w:r>
          </w:p>
        </w:tc>
        <w:tc>
          <w:tcPr>
            <w:tcW w:w="1725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Шаблоны содержатся в Приложении к данной Дорожной карте</w:t>
            </w:r>
          </w:p>
        </w:tc>
      </w:tr>
      <w:tr w:rsidR="00D40CEF" w:rsidRPr="005A0B99" w:rsidTr="00D40CEF">
        <w:tc>
          <w:tcPr>
            <w:tcW w:w="831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Шаг 4</w:t>
            </w:r>
          </w:p>
        </w:tc>
        <w:tc>
          <w:tcPr>
            <w:tcW w:w="2807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Подготовка служебной записки о необходимости перераспределения бюджетных средств</w:t>
            </w:r>
          </w:p>
        </w:tc>
        <w:tc>
          <w:tcPr>
            <w:tcW w:w="132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23.04.2021</w:t>
            </w:r>
          </w:p>
        </w:tc>
        <w:tc>
          <w:tcPr>
            <w:tcW w:w="156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Направление служебной записки в финансовый орган (Служебная записка, направленная в финансовый орган)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5103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Для подготовки изменений в решение о местном бюджете, ответственный за внедрение персонифицированного финансирования совместно с рабочей группой подготавливает служебную записку, направляемую уполномоченным органом в орган местного самоуправления, осуществляющий управление в сфере финансов (финансовый орган), которая должна содержать следующие положения: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выделение средств в размере [объем финансового обеспечения из расчета номинала сертификата] тыс. рублей на реализацию мероприятия </w:t>
            </w:r>
            <w:r w:rsidRPr="005A0B99">
              <w:rPr>
                <w:b w:val="0"/>
              </w:rPr>
              <w:lastRenderedPageBreak/>
              <w:t>«Обеспечение функционирования модели персонифицированного финансирования дополнительного образования детей» муниципальной программы [наименование муниципальной программы развития образования];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уменьшение ассигнований, выделенных на реализацию мероприятия [наименование программного мероприятия по дополнительному образованию детей] муниципальной программы [наименование муниципальной программы] на сумму [сумма средств, переводимых на ПФ ДОД в рамках данного мероприятия, в соответствии с разделением муниципального задания] тыс. рублей;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- перераспределение средств в сумме [сумма, рассчитанная по форме в соответствии с разделением муниципального задания], выделенные на содержание муниципальных казенных учреждений в рамках мероприятия [наименование программного мероприятия по дополнительному образованию детей] муниципальной программы [наименование муниципальной программы] на предоставление субсидии на финансовое обеспечение муниципального задания на оказание муниципальных услуг (выполнение работ) в связи с изменением типа муниципального учреждения на [бюджетное или автономное] .К пояснительной записке рекомендуется приложить подготовленный Расчет параметров персонифицированного финансирования</w:t>
            </w:r>
          </w:p>
        </w:tc>
        <w:tc>
          <w:tcPr>
            <w:tcW w:w="1559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Шаповалова О.С. Нартовская О.А. Усольцев В.В.</w:t>
            </w:r>
          </w:p>
        </w:tc>
        <w:tc>
          <w:tcPr>
            <w:tcW w:w="1725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Шаблон документа содержится в приложении к дорожной карте</w:t>
            </w:r>
          </w:p>
        </w:tc>
      </w:tr>
      <w:tr w:rsidR="00D40CEF" w:rsidRPr="005A0B99" w:rsidTr="00D40CEF">
        <w:tc>
          <w:tcPr>
            <w:tcW w:w="831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Шаг 5</w:t>
            </w:r>
          </w:p>
        </w:tc>
        <w:tc>
          <w:tcPr>
            <w:tcW w:w="2807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Закрепление в местном бюджете средств на финансовое обеспечение персонифицированного финансирования</w:t>
            </w:r>
          </w:p>
        </w:tc>
        <w:tc>
          <w:tcPr>
            <w:tcW w:w="1320" w:type="dxa"/>
          </w:tcPr>
          <w:p w:rsidR="00D40CEF" w:rsidRPr="005A0B99" w:rsidRDefault="001B3DFB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Июнь сессия РСД</w:t>
            </w:r>
          </w:p>
        </w:tc>
        <w:tc>
          <w:tcPr>
            <w:tcW w:w="156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Выписка из бюджета муниципального образования</w:t>
            </w:r>
          </w:p>
        </w:tc>
        <w:tc>
          <w:tcPr>
            <w:tcW w:w="5103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Изменения в решение о местном бюджете вносятся в соответствии со служебной запиской.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Рекомендуется также для возможности оперативно проводить перераспределение средств при внедрении системы персонифицированного финансирования дополнительного образования детей установить в соответствии с пунктом 8 статьи 217 Бюджетного кодекса Российской Федерации следующие основания для внесения изменений в показатели Сводной бюджетной </w:t>
            </w:r>
            <w:r w:rsidRPr="005A0B99">
              <w:rPr>
                <w:b w:val="0"/>
              </w:rPr>
              <w:lastRenderedPageBreak/>
              <w:t>росписи местного бюджета без внесения изменений в решение о местном бюджете в соответствии с решениями руководителя финансового органа: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перераспределение бюджетных ассигнований в рамках одного мероприятия муниципальной программы или </w:t>
            </w:r>
            <w:proofErr w:type="spellStart"/>
            <w:r w:rsidRPr="005A0B99">
              <w:rPr>
                <w:b w:val="0"/>
              </w:rPr>
              <w:t>непрограммного</w:t>
            </w:r>
            <w:proofErr w:type="spellEnd"/>
            <w:r w:rsidRPr="005A0B99">
              <w:rPr>
                <w:b w:val="0"/>
              </w:rPr>
              <w:t xml:space="preserve"> направления деятельности;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перераспределение бюджетных ассигнований по мероприятиям муниципальных программ главному распорядителю бюджетных средств.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Данные полномочия закрепляются Положением о бюджетном процессе в муниципальном образовании или решением о местном бюджете, если данное право закреплено вышеуказанным положением.</w:t>
            </w:r>
          </w:p>
        </w:tc>
        <w:tc>
          <w:tcPr>
            <w:tcW w:w="1559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Шаповалова О.С. Нартовская О.А. Усольцев В.В.</w:t>
            </w:r>
          </w:p>
        </w:tc>
        <w:tc>
          <w:tcPr>
            <w:tcW w:w="1725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D40CEF" w:rsidRPr="005A0B99" w:rsidTr="00D40CEF">
        <w:tc>
          <w:tcPr>
            <w:tcW w:w="831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Шаг 6.1</w:t>
            </w:r>
          </w:p>
        </w:tc>
        <w:tc>
          <w:tcPr>
            <w:tcW w:w="2807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Подготовка проекта нормативно-правового акта о внедрении системы персонифицированного финансирования в муниципальном образовании с приложением Правил персонифицированного финансирования</w:t>
            </w:r>
          </w:p>
        </w:tc>
        <w:tc>
          <w:tcPr>
            <w:tcW w:w="132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до 23.04.2021</w:t>
            </w:r>
          </w:p>
        </w:tc>
        <w:tc>
          <w:tcPr>
            <w:tcW w:w="1560" w:type="dxa"/>
            <w:vMerge w:val="restart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Постановление /распоряжение ОМСУ о внедрении системы персонифицированного финансирования в </w:t>
            </w:r>
            <w:r w:rsidRPr="005A0B99">
              <w:rPr>
                <w:b w:val="0"/>
              </w:rPr>
              <w:lastRenderedPageBreak/>
              <w:t>муниципальном образовании с приложением Правил персонифицированного финансирования, Порядка предоставления гранта</w:t>
            </w:r>
          </w:p>
        </w:tc>
        <w:tc>
          <w:tcPr>
            <w:tcW w:w="5103" w:type="dxa"/>
            <w:vMerge w:val="restart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Данный нормативно-правовой акт является базовым для внедрения ПФ ДОД в муниципальном образовании, поэтому его рекомендуется принимать постановлением главы администрации муниципального образования. Рекомендуется, чтобы рассматриваемый НПА содержал следующие положения: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дату начала внедрения системы персонифицированного финансирования на территории муниципального образования;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утверждение правил персонифицированного финансирования дополнительного образования детей в муниципальном образовании;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назначение уполномоченного органа, ответственного за внедрение и реализацию системы персонифицированного финансирования (как правило, орган местного самоуправления, осуществляющий управление в сфере образования);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назначение муниципального координатора персонифицированного финансирования дополнительного образования детей (как правило, Муниципальный опорный центр дополнительного образования детей);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 поручение органам местного самоуправления, осуществляющим управление в сфере культуры, спорта, обеспечить участие подведомственных организаций, реализующих дополнительные общеобразовательные программы в системе персонифицированного финансирования.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Рекомендуется, чтобы рассматриваемый НПА определял следующие порядки (конкретный перечень может различаться в зависимости от выбранной модели персонифицированного финансирования):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 Порядок предоставления субсидий на обеспечение (возмещение затрат) частным образовательным организациям, включая изменение объемов субсидий в связи с изменением объемов услуг, оказываемых по сертификатам;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 Порядок предоставления субсидий на обеспечение (возмещение затрат) частным организациям, осуществляющим обучение, включая изменение объемов субсидий в связи с изменением объемов услуг, оказываемых по сертификатам;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 Порядок предоставления субсидий на обеспечение (возмещение затрат) индивидуальным предпринимателям, осуществляющим обучение, включая изменение объемов субсидий в связи с изменением объемов услуг, оказываемых по сертификатам;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 Порядок изменения распределения бюджетных ассигнований между главными распорядителями средств, в случае перехода ребенка по сертификату между учреждениями, подведомственными различным ОМСУ;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 Порядок передачи бюджетных средств бюджету иного муниципального района (городского округа) при выборе ребенком муниципального учреждения другого муниципалитета (межмуниципальные </w:t>
            </w:r>
            <w:proofErr w:type="spellStart"/>
            <w:r w:rsidRPr="005A0B99">
              <w:rPr>
                <w:b w:val="0"/>
              </w:rPr>
              <w:t>трансферы</w:t>
            </w:r>
            <w:proofErr w:type="spellEnd"/>
            <w:r w:rsidRPr="005A0B99">
              <w:rPr>
                <w:b w:val="0"/>
              </w:rPr>
              <w:t>);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 Порядок передачи бюджетных средств местного бюджета региональному бюджету при выборе ребенком государственной или частной организации, осуществляющей образовательную деятельность;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 Порядок передачи бюджетных средств местного (регионального) бюджета федеральному бюджету при выборе ребенком федеральной организации, осуществляющей образовательную деятельность;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 Порядок предоставления субсидий на обеспечение (возмещение) затрат организации, выполняющей функции оператора средств персонифицированного финансирования при наличии такой организации;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 Порядок обеспечения оказания исполнителями образовательных услуг по сертификатам, осуществляемого организацией, выполняющей функции оператора средств персонифицированного финансирования при наличии такой организации.</w:t>
            </w:r>
          </w:p>
        </w:tc>
        <w:tc>
          <w:tcPr>
            <w:tcW w:w="1559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Чернова О.Н.</w:t>
            </w:r>
          </w:p>
        </w:tc>
        <w:tc>
          <w:tcPr>
            <w:tcW w:w="1725" w:type="dxa"/>
            <w:vMerge w:val="restart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Образцы документов в приложении к Дорожной карте</w:t>
            </w:r>
          </w:p>
        </w:tc>
      </w:tr>
      <w:tr w:rsidR="00D40CEF" w:rsidRPr="005A0B99" w:rsidTr="00D40CEF">
        <w:trPr>
          <w:cantSplit/>
        </w:trPr>
        <w:tc>
          <w:tcPr>
            <w:tcW w:w="831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Шаг 6.2</w:t>
            </w:r>
          </w:p>
        </w:tc>
        <w:tc>
          <w:tcPr>
            <w:tcW w:w="2807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Принятие нормативно-правового акта о внедрении системы персонифицированного финансирования в муниципальном образовании с приложением Правил персонифицированного финансирования</w:t>
            </w:r>
          </w:p>
        </w:tc>
        <w:tc>
          <w:tcPr>
            <w:tcW w:w="132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До 19.05.2021</w:t>
            </w:r>
          </w:p>
        </w:tc>
        <w:tc>
          <w:tcPr>
            <w:tcW w:w="1560" w:type="dxa"/>
            <w:vMerge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5103" w:type="dxa"/>
            <w:vMerge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1559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Николаенко А.В. Шаповалова О.С.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Кобизкая А.Н.</w:t>
            </w:r>
          </w:p>
        </w:tc>
        <w:tc>
          <w:tcPr>
            <w:tcW w:w="1725" w:type="dxa"/>
            <w:vMerge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D40CEF" w:rsidRPr="005A0B99" w:rsidTr="00D40CEF">
        <w:tc>
          <w:tcPr>
            <w:tcW w:w="831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Шаг 7</w:t>
            </w:r>
          </w:p>
        </w:tc>
        <w:tc>
          <w:tcPr>
            <w:tcW w:w="2807" w:type="dxa"/>
          </w:tcPr>
          <w:p w:rsidR="00D40CEF" w:rsidRPr="005A0B99" w:rsidRDefault="001B3DFB" w:rsidP="001B3DFB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Подтверждение с</w:t>
            </w:r>
            <w:r w:rsidR="00D40CEF" w:rsidRPr="005A0B99">
              <w:rPr>
                <w:b w:val="0"/>
              </w:rPr>
              <w:t>мен</w:t>
            </w:r>
            <w:r w:rsidRPr="005A0B99">
              <w:rPr>
                <w:b w:val="0"/>
              </w:rPr>
              <w:t>ы</w:t>
            </w:r>
            <w:r w:rsidR="00D40CEF" w:rsidRPr="005A0B99">
              <w:rPr>
                <w:b w:val="0"/>
              </w:rPr>
              <w:t xml:space="preserve"> типа учреждения (из казенного в бюджетное учреждение)</w:t>
            </w:r>
          </w:p>
        </w:tc>
        <w:tc>
          <w:tcPr>
            <w:tcW w:w="132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до 23.04.2021 </w:t>
            </w:r>
          </w:p>
        </w:tc>
        <w:tc>
          <w:tcPr>
            <w:tcW w:w="156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Устав Выписка ЕГРЮЛ</w:t>
            </w:r>
          </w:p>
        </w:tc>
        <w:tc>
          <w:tcPr>
            <w:tcW w:w="5103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Учреждения, участвующие в ПФДО должны иметь статус бюджетных</w:t>
            </w:r>
          </w:p>
        </w:tc>
        <w:tc>
          <w:tcPr>
            <w:tcW w:w="1559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Шаповалова О.С.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Плескач Е.И.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Фур Т.И.</w:t>
            </w:r>
          </w:p>
        </w:tc>
        <w:tc>
          <w:tcPr>
            <w:tcW w:w="1725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Предоставить в МОЦ заверенные копии устава и выписки ЕГРЮЛ</w:t>
            </w:r>
          </w:p>
        </w:tc>
      </w:tr>
      <w:tr w:rsidR="00D40CEF" w:rsidRPr="005A0B99" w:rsidTr="00D40CEF">
        <w:tc>
          <w:tcPr>
            <w:tcW w:w="831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Шаг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8.1</w:t>
            </w:r>
          </w:p>
        </w:tc>
        <w:tc>
          <w:tcPr>
            <w:tcW w:w="2807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Подготовка проекта программы персонифицированного финансирования</w:t>
            </w:r>
          </w:p>
        </w:tc>
        <w:tc>
          <w:tcPr>
            <w:tcW w:w="132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до 23.04.2021 </w:t>
            </w:r>
          </w:p>
        </w:tc>
        <w:tc>
          <w:tcPr>
            <w:tcW w:w="1560" w:type="dxa"/>
            <w:vMerge w:val="restart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Постановление / распоряжение ОМСУ об утверждении программы персонифицированного финансирования на финансовый период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5103" w:type="dxa"/>
            <w:vMerge w:val="restart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Программа персонифицированного финансирования принимается </w:t>
            </w:r>
            <w:proofErr w:type="spellStart"/>
            <w:r w:rsidRPr="005A0B99">
              <w:rPr>
                <w:b w:val="0"/>
              </w:rPr>
              <w:t>нормативно</w:t>
            </w:r>
            <w:r w:rsidRPr="005A0B99">
              <w:rPr>
                <w:b w:val="0"/>
              </w:rPr>
              <w:softHyphen/>
              <w:t>правовым</w:t>
            </w:r>
            <w:proofErr w:type="spellEnd"/>
            <w:r w:rsidRPr="005A0B99">
              <w:rPr>
                <w:b w:val="0"/>
              </w:rPr>
              <w:t xml:space="preserve"> актом уполномоченного органа и определяет: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период действия программы персонифицированного финансирования (в первый год внедрения системы персонифицированного финансирования рекомендуется устанавливать «с 1 сентября по 31 декабря» для приведения начала внедрения системы персонифицированного финансирования к началу учебного года);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категории сертификатов (например, «все дети от 5 до 18 лет», «дети с ОВЗ и дети-инвалиды», «одаренные дети»);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номиналы сертификатов для каждой категории;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общий объем финансового обеспечения сертификатов;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ограничения по числу одновременно посещаемых обучающимся образовательных программ, установленные для каждой категории сертификатов.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Данные в программе персонифицированного финансирования заполняются из расчета номинала сертификата (кроме данных по ограничениям, которые заполняются на основе принятого уполномоченным органом решения)</w:t>
            </w:r>
          </w:p>
        </w:tc>
        <w:tc>
          <w:tcPr>
            <w:tcW w:w="1559" w:type="dxa"/>
            <w:vMerge w:val="restart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Шаповалова О.С. 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Нартовская О.А. Чернова О.Н.</w:t>
            </w:r>
          </w:p>
        </w:tc>
        <w:tc>
          <w:tcPr>
            <w:tcW w:w="1725" w:type="dxa"/>
            <w:vMerge w:val="restart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Образцы документов в приложении к Дорожной карте</w:t>
            </w:r>
          </w:p>
        </w:tc>
      </w:tr>
      <w:tr w:rsidR="00D40CEF" w:rsidRPr="005A0B99" w:rsidTr="00D40CEF">
        <w:tc>
          <w:tcPr>
            <w:tcW w:w="831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Шаг 8.2</w:t>
            </w:r>
          </w:p>
        </w:tc>
        <w:tc>
          <w:tcPr>
            <w:tcW w:w="2807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Утверждение программы персонифицированного финансирования</w:t>
            </w:r>
          </w:p>
        </w:tc>
        <w:tc>
          <w:tcPr>
            <w:tcW w:w="132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до 19.05.2021 </w:t>
            </w:r>
          </w:p>
        </w:tc>
        <w:tc>
          <w:tcPr>
            <w:tcW w:w="1560" w:type="dxa"/>
            <w:vMerge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5103" w:type="dxa"/>
            <w:vMerge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1725" w:type="dxa"/>
            <w:vMerge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D40CEF" w:rsidRPr="005A0B99" w:rsidTr="00D40CEF">
        <w:tc>
          <w:tcPr>
            <w:tcW w:w="831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Шаг 9.1</w:t>
            </w:r>
          </w:p>
        </w:tc>
        <w:tc>
          <w:tcPr>
            <w:tcW w:w="2807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Подготовка проекта НПА об утверждении параметров расчета нормативных затрат на человеко-час</w:t>
            </w:r>
          </w:p>
        </w:tc>
        <w:tc>
          <w:tcPr>
            <w:tcW w:w="132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до 23.04.2021</w:t>
            </w:r>
          </w:p>
        </w:tc>
        <w:tc>
          <w:tcPr>
            <w:tcW w:w="1560" w:type="dxa"/>
            <w:vMerge w:val="restart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Постановление / распоряжение ОМСУ об утверждении об утверждении параметров расчета </w:t>
            </w:r>
            <w:r w:rsidRPr="005A0B99">
              <w:rPr>
                <w:b w:val="0"/>
              </w:rPr>
              <w:lastRenderedPageBreak/>
              <w:t>нормативных затрат на человеко-час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5103" w:type="dxa"/>
            <w:vMerge w:val="restart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Основные параметры для расчета нормативных затрат (нормативной стоимости) принимаются нормативно-правовым актом уполномоченного органа и определяют основные константы, используемые для расчета нормативных затрат (нормативной стоимости) в соответствии с методикой, закрепленной в региональных Правилах персонифицированного финансирования.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Данные основных параметров для расчета </w:t>
            </w:r>
            <w:r w:rsidRPr="005A0B99">
              <w:rPr>
                <w:b w:val="0"/>
              </w:rPr>
              <w:lastRenderedPageBreak/>
              <w:t>нормативных затрат (нормативной стоимости) заполняются из расчета нормативных затрат (нормативной стоимости). Кроме основных параметров тем же нормативно-правовым актом рекомендуется утвердить отраслевые коэффициенты для особых условий реализации образовательных программ, например: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повышающий коэффициент к нормативным затратам (нормативной стоимости) образовательных программ, реализуемых для детей с ОВЗ и детей-инвалидов;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понижающий коэффициент к нормативным затратам (нормативной стоимости) образовательных программ, реализуемых в </w:t>
            </w:r>
            <w:proofErr w:type="spellStart"/>
            <w:r w:rsidRPr="005A0B99">
              <w:rPr>
                <w:b w:val="0"/>
              </w:rPr>
              <w:t>очно</w:t>
            </w:r>
            <w:proofErr w:type="spellEnd"/>
            <w:r w:rsidRPr="005A0B99">
              <w:rPr>
                <w:b w:val="0"/>
              </w:rPr>
              <w:t>- заочной или дистанционной формах</w:t>
            </w:r>
          </w:p>
        </w:tc>
        <w:tc>
          <w:tcPr>
            <w:tcW w:w="1559" w:type="dxa"/>
            <w:vMerge w:val="restart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Шаповалова О.С.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Нартовская О.А.</w:t>
            </w:r>
          </w:p>
        </w:tc>
        <w:tc>
          <w:tcPr>
            <w:tcW w:w="1725" w:type="dxa"/>
            <w:vMerge w:val="restart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Образцы документов в приложении к Дорожной карте</w:t>
            </w:r>
          </w:p>
        </w:tc>
      </w:tr>
      <w:tr w:rsidR="00D40CEF" w:rsidRPr="005A0B99" w:rsidTr="00D40CEF">
        <w:tc>
          <w:tcPr>
            <w:tcW w:w="831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Шаг 9.2</w:t>
            </w:r>
          </w:p>
        </w:tc>
        <w:tc>
          <w:tcPr>
            <w:tcW w:w="2807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Утверждение уполномоченным органом параметров расчета нормативных затрат на </w:t>
            </w:r>
            <w:r w:rsidRPr="005A0B99">
              <w:rPr>
                <w:b w:val="0"/>
              </w:rPr>
              <w:lastRenderedPageBreak/>
              <w:t>человеко-час</w:t>
            </w:r>
          </w:p>
        </w:tc>
        <w:tc>
          <w:tcPr>
            <w:tcW w:w="132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 xml:space="preserve">до 19.05.2021 </w:t>
            </w:r>
          </w:p>
        </w:tc>
        <w:tc>
          <w:tcPr>
            <w:tcW w:w="1560" w:type="dxa"/>
            <w:vMerge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5103" w:type="dxa"/>
            <w:vMerge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1725" w:type="dxa"/>
            <w:vMerge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D40CEF" w:rsidRPr="005A0B99" w:rsidTr="00D40CEF">
        <w:tc>
          <w:tcPr>
            <w:tcW w:w="831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Шаг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10.1.</w:t>
            </w:r>
          </w:p>
        </w:tc>
        <w:tc>
          <w:tcPr>
            <w:tcW w:w="2807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Подготовка проекта изменений в муниципальные программы развития для закрепления мероприятий по внедрению персонифицированного финансирования</w:t>
            </w:r>
          </w:p>
        </w:tc>
        <w:tc>
          <w:tcPr>
            <w:tcW w:w="132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до 19.05.2021</w:t>
            </w:r>
          </w:p>
        </w:tc>
        <w:tc>
          <w:tcPr>
            <w:tcW w:w="1560" w:type="dxa"/>
            <w:vMerge w:val="restart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Муниципальная программа развития образования муниципального района / округа (с утвержденными изменениями)</w:t>
            </w:r>
          </w:p>
        </w:tc>
        <w:tc>
          <w:tcPr>
            <w:tcW w:w="5103" w:type="dxa"/>
            <w:vMerge w:val="restart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В целях внедрения модели персонифицированного финансирования дополнительного образования детей органам местного самоуправления необходимо внести изменения в действующие муниципальные программы развития (в минимальном варианте - изменения в программу развития, исполнителем по которой является уполномоченный орган, определённый в муниципальных правилах ПФ ДОД, далее - Программа) в части, затрагивающей дополнительное образование детей.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Изменения необходимы для закрепления финансового обеспечения за новым основным мероприятием «Обеспечение функционирования модели персонифицированного финансирования дополнительного образования детей». Рекомендуется следующий набор изменений: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дополнение приоритетов муниципальной политики в сфере реализации Программы описанием внедрения системы персонифицированного финансирования;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дополнение порядка определения целевых показателей Программы (как правило, раздел «Целевые показатели программы» паспорта Программы) показателем «доля детей в возрасте от 5 до 18 лет, использующих сертификаты </w:t>
            </w:r>
            <w:r w:rsidRPr="005A0B99">
              <w:rPr>
                <w:b w:val="0"/>
              </w:rPr>
              <w:lastRenderedPageBreak/>
              <w:t>дополнительного образования»;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дополнение целевых показателей Программы в части подпрограммы «Развитие дополнительного образования» показателем «охват детей в возрасте от 5 до 18 лет, имеющих право на получение дополнительного образования в рамках системы персонифицированного финансирования»;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дополнение подпрограммы «Развитие дополнительного образования» основным мероприятием «Обеспечение функционирования системы персонифицированного финансирования дополнительного образования детей»;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дополнение приложения «Сведения о составе и значениях целевых показателей муниципальной программы» значениями показателей по персонифицированному финансированию (целевые показатели переносятся из соглашений, заключенных муниципальным образованием с органом исполнительной власти субъекта Российской Федерации, осуществляющего управление в сфере образования);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закрепление финансирования реализации основного мероприятия «Обеспечение функционирования модели персонифицированного финансирования дополнительного образования детей» в соответствующем разделе Программы с разбивкой по годам.</w:t>
            </w:r>
          </w:p>
        </w:tc>
        <w:tc>
          <w:tcPr>
            <w:tcW w:w="1559" w:type="dxa"/>
            <w:vMerge w:val="restart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Шаповалова О.С. Кобизкая А.Н.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Нартовская О.А.</w:t>
            </w:r>
          </w:p>
        </w:tc>
        <w:tc>
          <w:tcPr>
            <w:tcW w:w="1725" w:type="dxa"/>
            <w:vMerge w:val="restart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Образцы документов в приложении к Дорожной карте</w:t>
            </w:r>
          </w:p>
        </w:tc>
      </w:tr>
      <w:tr w:rsidR="00D40CEF" w:rsidRPr="005A0B99" w:rsidTr="00D40CEF">
        <w:tc>
          <w:tcPr>
            <w:tcW w:w="831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Шаг 10.2</w:t>
            </w:r>
          </w:p>
        </w:tc>
        <w:tc>
          <w:tcPr>
            <w:tcW w:w="2807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Внесение изменений в муниципальные программы развития для закрепления мероприятий по внедрению персонифицированного финансирования</w:t>
            </w:r>
          </w:p>
        </w:tc>
        <w:tc>
          <w:tcPr>
            <w:tcW w:w="1320" w:type="dxa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до 28.05.2021</w:t>
            </w:r>
          </w:p>
        </w:tc>
        <w:tc>
          <w:tcPr>
            <w:tcW w:w="1560" w:type="dxa"/>
            <w:vMerge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5103" w:type="dxa"/>
            <w:vMerge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1725" w:type="dxa"/>
            <w:vMerge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D40CEF" w:rsidRPr="005A0B99" w:rsidTr="00D40CEF">
        <w:tc>
          <w:tcPr>
            <w:tcW w:w="831" w:type="dxa"/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Шаг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11</w:t>
            </w:r>
          </w:p>
        </w:tc>
        <w:tc>
          <w:tcPr>
            <w:tcW w:w="2807" w:type="dxa"/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Внесение изменений в муниципальные задания учреждений, а также в соглашения о предоставлении субсидии на финансовое обеспечение выполнения муниципального задания</w:t>
            </w:r>
          </w:p>
        </w:tc>
        <w:tc>
          <w:tcPr>
            <w:tcW w:w="1320" w:type="dxa"/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до 04.06.2021 </w:t>
            </w:r>
          </w:p>
        </w:tc>
        <w:tc>
          <w:tcPr>
            <w:tcW w:w="1560" w:type="dxa"/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Муниципальные задания учреждений, соглашения о предоставлении субсидии на финансовое обеспечение выполнения муниципального задания</w:t>
            </w:r>
          </w:p>
        </w:tc>
        <w:tc>
          <w:tcPr>
            <w:tcW w:w="5103" w:type="dxa"/>
            <w:vAlign w:val="bottom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После принятия изменений в решение о местном бюджете необходимо уменьшить бюджетные ассигнования на предоставление субсидий подведомственным бюджетным (автономным) учреждениям на сумму средств, предоставленных на реализацию мероприятия «Обеспечение функционирования модели персонифицированного финансирования дополнительного образования детей».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Конкретные суммы средств, выделяемые из субсидии на финансовое обеспечение выполнения муниципального задания, определены</w:t>
            </w:r>
          </w:p>
        </w:tc>
        <w:tc>
          <w:tcPr>
            <w:tcW w:w="1559" w:type="dxa"/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Шаповалова О.С. Кобизкая А.Н.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Нартовская О.А.</w:t>
            </w:r>
          </w:p>
        </w:tc>
        <w:tc>
          <w:tcPr>
            <w:tcW w:w="1725" w:type="dxa"/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Образцы документов в приложении к Дорожной карте</w:t>
            </w:r>
          </w:p>
        </w:tc>
      </w:tr>
      <w:tr w:rsidR="00D40CEF" w:rsidRPr="005A0B99" w:rsidTr="00D40CEF">
        <w:tc>
          <w:tcPr>
            <w:tcW w:w="831" w:type="dxa"/>
            <w:tcBorders>
              <w:bottom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Шаг 12.1</w:t>
            </w: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Подготовка проекта правового акта органа </w:t>
            </w:r>
            <w:r w:rsidRPr="005A0B99">
              <w:rPr>
                <w:b w:val="0"/>
              </w:rPr>
              <w:lastRenderedPageBreak/>
              <w:t>местного самоуправления о внесении изменений в порядок доведения муниципального задания для муниципальных учреждений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 xml:space="preserve">до 19.05.2021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Правовой акт органа </w:t>
            </w:r>
            <w:r w:rsidRPr="005A0B99">
              <w:rPr>
                <w:b w:val="0"/>
              </w:rPr>
              <w:lastRenderedPageBreak/>
              <w:t>местного самоуправления о внесении изменений в порядок доведения муниципального задания для муниципальных учреждений</w:t>
            </w:r>
          </w:p>
        </w:tc>
        <w:tc>
          <w:tcPr>
            <w:tcW w:w="5103" w:type="dxa"/>
            <w:vMerge w:val="restart"/>
            <w:tcBorders>
              <w:bottom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 xml:space="preserve">Данный шаг необходим для фиксации возможности корректировки муниципального </w:t>
            </w:r>
            <w:r w:rsidRPr="005A0B99">
              <w:rPr>
                <w:b w:val="0"/>
              </w:rPr>
              <w:lastRenderedPageBreak/>
              <w:t>задания в пределах периода по результатам персонифицированного выбора детьми (родителями или законными представителями) программ дополнительного образования на территории Красноярского края.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 xml:space="preserve">Шаповалова О.С. </w:t>
            </w:r>
            <w:r w:rsidRPr="005A0B99">
              <w:rPr>
                <w:b w:val="0"/>
              </w:rPr>
              <w:lastRenderedPageBreak/>
              <w:t>Кобизкая А.Н.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Нартовская О.А.</w:t>
            </w:r>
          </w:p>
        </w:tc>
        <w:tc>
          <w:tcPr>
            <w:tcW w:w="1725" w:type="dxa"/>
            <w:vMerge w:val="restart"/>
            <w:tcBorders>
              <w:bottom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 xml:space="preserve">Образцы документов в </w:t>
            </w:r>
            <w:r w:rsidRPr="005A0B99">
              <w:rPr>
                <w:b w:val="0"/>
              </w:rPr>
              <w:lastRenderedPageBreak/>
              <w:t>приложении к Дорожной карте</w:t>
            </w:r>
          </w:p>
        </w:tc>
      </w:tr>
      <w:tr w:rsidR="00D40CEF" w:rsidRPr="005A0B99" w:rsidTr="00D40CEF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Шаг 12.2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Принятие правового акта органа местного самоуправления о внесении изменений в порядок доведения муниципального задания для муниципальных учреждений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до 28.05.2021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D40CEF" w:rsidRPr="005A0B99" w:rsidTr="00D40CEF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lang w:bidi="ru-RU"/>
              </w:rPr>
            </w:pPr>
            <w:r w:rsidRPr="005A0B99">
              <w:rPr>
                <w:b w:val="0"/>
              </w:rPr>
              <w:t>Шаг 13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lang w:bidi="ru-RU"/>
              </w:rPr>
            </w:pPr>
            <w:r w:rsidRPr="005A0B99">
              <w:rPr>
                <w:b w:val="0"/>
              </w:rPr>
              <w:t>Проведение информационной кампании среди потребителей образовательных услуг о введении системы персонифицированного финансирования (первая волна)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lang w:bidi="ru-RU"/>
              </w:rPr>
            </w:pPr>
            <w:r w:rsidRPr="005A0B99">
              <w:rPr>
                <w:b w:val="0"/>
              </w:rPr>
              <w:t xml:space="preserve">Апрель-июнь 2021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Материалы информационной кампании. Отчет о проведении информационной кампании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Информированность всех участников системы персонифицированного финансирования является одним из важнейших факторов успешности реализации модели.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В ходе реализации Исполнителем модели персонифицированного финансирования в субъектах Российской Федерации выявлены основные проблемные точки при проведении информационных кампаний как на региональном, так и на муниципальном уровне: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неполнота и недостаточность информации о внедряемой системе персонифицированного финансирования;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непонимание потребителями своих прав, предоставляемых сертификатом, и порядка их реализации;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непонимание педагогическими работниками принципов работы системы персонифицированного финансирования при принятии решения о включении в реестр образовательных программ тех или иных образовательных услуг;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отсутствие пошагового алгоритма работы образовательных организаций в системе персонифицированного финансирования.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Для целей устранения перечисленных проблем необходимо уделить достаточно внимания </w:t>
            </w:r>
            <w:r w:rsidRPr="005A0B99">
              <w:rPr>
                <w:b w:val="0"/>
              </w:rPr>
              <w:lastRenderedPageBreak/>
              <w:t>проведению информационной кампании.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Следует отметить, что успешная реализация данного мероприятия имеет высокую критичность для эффективного внедрения системы персонифицированного финансирования.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Рекомендуемая последовательность шагов по проведению информационной кампании состоит из 3 этапов.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Рассматриваемое мероприятие (1 этап) является первичной информационной кампанией, задача которой - дать общую информацию о системе персонифицированного финансирования с максимальным охватом целевой аудитории (ЦА). Материалы имеют общий характер и не индивидуализируются под отдельные сегменты ЦА. 1 этап начинается сразу после принятия региональных Правил персонифицированного финансирования, как документа, устанавливающего максимальное число порядков (работы с сертификатами, поставщиками услуг и образовательными программами).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Интервью заместителя главы муниципального образования по социальным вопросам, помогает привлечь больше внимания к материалу со стороны педагогического сообщества и активной родительской общественности, которые становятся проводниками информации для остальных участников системы персонифицированного финансирования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lang w:bidi="ru-RU"/>
              </w:rPr>
            </w:pPr>
            <w:r w:rsidRPr="005A0B99">
              <w:rPr>
                <w:b w:val="0"/>
              </w:rPr>
              <w:t>Пресс-конференции усиливают эффект, позволяя собрать максимальное число СМИ и произвести «посев» информации. Хорошим инструментом для СМИ являются заранее подготовленные ответы на вопросы (справочник) по персонифицированному финансированию, которые помогают журналистам при последующей подготовке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Чернова О.Н.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Плескач Е.И.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Фур Т.И.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Материалы для информационных кампаний (1 этапа), апробированные в ряде субъектов Российской Федерации, можно скачать по представленным ссылкам в ДК края 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Лучшие практики информационных кампаний различных субъектов Российской Федерации можно изучить по ссылке представленной в ДК края</w:t>
            </w:r>
          </w:p>
        </w:tc>
      </w:tr>
      <w:tr w:rsidR="00D40CEF" w:rsidRPr="005A0B99" w:rsidTr="00D40CEF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Шаг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lang w:bidi="ru-RU"/>
              </w:rPr>
            </w:pPr>
            <w:r w:rsidRPr="005A0B99">
              <w:rPr>
                <w:b w:val="0"/>
              </w:rPr>
              <w:t>14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lang w:bidi="ru-RU"/>
              </w:rPr>
            </w:pPr>
            <w:r w:rsidRPr="005A0B99">
              <w:rPr>
                <w:b w:val="0"/>
              </w:rPr>
              <w:t>Внесение изменений в локальные акты муниципальных поставщиков образовательных услуг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lang w:bidi="ru-RU"/>
              </w:rPr>
            </w:pPr>
            <w:r w:rsidRPr="005A0B99">
              <w:rPr>
                <w:b w:val="0"/>
              </w:rPr>
              <w:t xml:space="preserve">до 30.06.2021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Пакет локальных актов муниципальных </w:t>
            </w:r>
            <w:r w:rsidRPr="005A0B99">
              <w:rPr>
                <w:b w:val="0"/>
              </w:rPr>
              <w:lastRenderedPageBreak/>
              <w:t>поставщиков образовательных услуг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Для обеспечения корректной работы организации в системе персонифицированного финансирования, необходимо внести изменения в ряд локальных актов организации: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приказ о назначении ответственных за работу с </w:t>
            </w:r>
            <w:r w:rsidRPr="005A0B99">
              <w:rPr>
                <w:b w:val="0"/>
              </w:rPr>
              <w:lastRenderedPageBreak/>
              <w:t>персональными данными детей и их родителей (законных представителей) и осуществлению операций по формированию сертификата дополнительного образования, зачисления номинала на сертификат. Данным приказом также утверждаются формы заявлений и договоров, применяемые организацией и ранее доведенные приказом регионального оператора персонифицированного финансирования (пункт 18 Комплекса мероприятий);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положение о приеме детей;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lang w:bidi="ru-RU"/>
              </w:rPr>
            </w:pPr>
            <w:r w:rsidRPr="005A0B99">
              <w:rPr>
                <w:b w:val="0"/>
              </w:rPr>
              <w:t>положение об оплате труда работников организации.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Плескач Е.И.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Фур Т.И.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Образцы документов в приложении к Дорожной карте</w:t>
            </w:r>
          </w:p>
        </w:tc>
      </w:tr>
      <w:tr w:rsidR="00D40CEF" w:rsidRPr="005A0B99" w:rsidTr="00D40CEF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Шаг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lang w:bidi="ru-RU"/>
              </w:rPr>
            </w:pPr>
            <w:r w:rsidRPr="005A0B99">
              <w:rPr>
                <w:b w:val="0"/>
              </w:rPr>
              <w:t>15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lang w:bidi="ru-RU"/>
              </w:rPr>
            </w:pPr>
            <w:r w:rsidRPr="005A0B99">
              <w:rPr>
                <w:b w:val="0"/>
              </w:rPr>
              <w:t>Проведение информационной кампании среди потребителей образовательных услуг о введении системы персонифицированного финансирования (вторая волна)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lang w:bidi="ru-RU"/>
              </w:rPr>
            </w:pPr>
            <w:r w:rsidRPr="005A0B99">
              <w:rPr>
                <w:b w:val="0"/>
              </w:rPr>
              <w:t>Август-Сентябрь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lang w:bidi="ru-RU"/>
              </w:rPr>
            </w:pPr>
            <w:r w:rsidRPr="005A0B99">
              <w:rPr>
                <w:b w:val="0"/>
              </w:rPr>
              <w:t>Отчет об информационной компании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2 этап информационной кампании начинается за 2-3 недели до старта заявочной кампании для зачисления на обучение по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дополнительным общеобразовательным программам. Как правило это август- сентябрь года запуска системы персонифицированного финансирования, но в муниципальном образовании могут быть установлены и иные даты старта кампании по зачислению 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Задача 2 этапа - ответы на все возникающие прежде всего у потребителей услуг и педагогических работников вопросы, устранение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lang w:bidi="ru-RU"/>
              </w:rPr>
            </w:pPr>
            <w:r w:rsidRPr="005A0B99">
              <w:rPr>
                <w:b w:val="0"/>
              </w:rPr>
              <w:t>недопонимания. Основной упор при выборе инструментов проведения 2 этапа информационной кампании уделяется личному донесению информации и индивидуальным инструкциям, направленным на выполнение простых единичных действий, и поэтому простыми и удобными в использовании (например, инструкцию по регистрации в Навигаторе дополнительного образования и инструкцию по порядку получения сертификата желательно сделать отдельными документами, хотя они и являются взаимосвязанными)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Чернова О.Н.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Плескач Е.И.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Фур Т.И.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D40CEF" w:rsidRPr="005A0B99" w:rsidTr="00D40CEF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Шаг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lang w:val="en-US" w:bidi="ru-RU"/>
              </w:rPr>
            </w:pPr>
            <w:r w:rsidRPr="005A0B99">
              <w:rPr>
                <w:b w:val="0"/>
              </w:rPr>
              <w:t>16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lang w:bidi="ru-RU"/>
              </w:rPr>
            </w:pPr>
            <w:r w:rsidRPr="005A0B99">
              <w:rPr>
                <w:b w:val="0"/>
              </w:rPr>
              <w:t xml:space="preserve">Иные мероприятия, необходимые для эффективного функционирования </w:t>
            </w:r>
            <w:r w:rsidRPr="005A0B99">
              <w:rPr>
                <w:b w:val="0"/>
              </w:rPr>
              <w:lastRenderedPageBreak/>
              <w:t>системы персонифицированного финансирования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lang w:bidi="ru-RU"/>
              </w:rPr>
            </w:pPr>
            <w:r w:rsidRPr="005A0B99">
              <w:rPr>
                <w:b w:val="0"/>
              </w:rPr>
              <w:lastRenderedPageBreak/>
              <w:t>до 15.12.2021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Служебная записка о перераспределении средств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 xml:space="preserve">По опыту субъектов Российской Федерации, внедривших систему персонифицированного финансирования, неизрасходованными на конец года остается 20-30% средств финансового </w:t>
            </w:r>
            <w:r w:rsidRPr="005A0B99">
              <w:rPr>
                <w:b w:val="0"/>
              </w:rPr>
              <w:lastRenderedPageBreak/>
              <w:t>обеспечения сертификатов. Среди основных причин формирования неиспользуемого в рамках персонифицированного финансирования остатка средств можно выделить следующие: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родители взяли сертификат «чтобы был» без конкретного намерения его использовать;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ребенок не нашел программу, которая ему была бы интересна;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на выбранной программе не осталось мест к моменту получения сертификата данным ребенком;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на сертификате остался остаток средств после заключения договоров на интересующие ребенка программы в связи с их низкой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стоимостью или не кратностью номиналу сертификата.</w:t>
            </w:r>
          </w:p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  <w:lang w:bidi="ru-RU"/>
              </w:rPr>
            </w:pPr>
            <w:r w:rsidRPr="005A0B99">
              <w:rPr>
                <w:b w:val="0"/>
              </w:rPr>
              <w:t>В целях повышения эффективности использования бюджетных средств, рекомендуется перераспределить в декабре текущего года сформировавшийся неиспользуемый остаток средств, внеся изменения в решение о местном бюджете или сводную бюджетную роспись.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lastRenderedPageBreak/>
              <w:t>Нартовская О.А.</w:t>
            </w:r>
          </w:p>
          <w:p w:rsidR="001B3DFB" w:rsidRPr="005A0B99" w:rsidRDefault="001B3DFB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>Усольцев В.В.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D40CEF" w:rsidRPr="005A0B99" w:rsidRDefault="00D40CEF" w:rsidP="00D40CEF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5A0B99">
              <w:rPr>
                <w:b w:val="0"/>
              </w:rPr>
              <w:t xml:space="preserve">Образцы документов в приложении к Дорожной </w:t>
            </w:r>
            <w:r w:rsidRPr="005A0B99">
              <w:rPr>
                <w:b w:val="0"/>
              </w:rPr>
              <w:lastRenderedPageBreak/>
              <w:t>карте</w:t>
            </w:r>
          </w:p>
        </w:tc>
      </w:tr>
    </w:tbl>
    <w:p w:rsidR="00F3549C" w:rsidRPr="005A0B99" w:rsidRDefault="00F3549C">
      <w:pPr>
        <w:rPr>
          <w:color w:val="auto"/>
        </w:rPr>
      </w:pPr>
    </w:p>
    <w:sectPr w:rsidR="00F3549C" w:rsidRPr="005A0B99" w:rsidSect="00D40CEF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40CEF"/>
    <w:rsid w:val="001B3DFB"/>
    <w:rsid w:val="005509CE"/>
    <w:rsid w:val="005A0B99"/>
    <w:rsid w:val="009B3105"/>
    <w:rsid w:val="00A3549B"/>
    <w:rsid w:val="00A813A7"/>
    <w:rsid w:val="00B6707D"/>
    <w:rsid w:val="00BF4C00"/>
    <w:rsid w:val="00C70EE4"/>
    <w:rsid w:val="00D40CEF"/>
    <w:rsid w:val="00F3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0C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40CE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D40CE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2"/>
    <w:basedOn w:val="a0"/>
    <w:rsid w:val="00D40C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">
    <w:name w:val="Основной текст3"/>
    <w:basedOn w:val="a0"/>
    <w:rsid w:val="00D40C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D40CEF"/>
    <w:pPr>
      <w:shd w:val="clear" w:color="auto" w:fill="FFFFFF"/>
      <w:spacing w:after="780" w:line="274" w:lineRule="exac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D40CEF"/>
    <w:pPr>
      <w:shd w:val="clear" w:color="auto" w:fill="FFFFFF"/>
      <w:spacing w:before="780" w:after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D40CE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4467</Words>
  <Characters>25462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kobizkayaan</dc:creator>
  <cp:lastModifiedBy>kobizkayaan</cp:lastModifiedBy>
  <cp:revision>2</cp:revision>
  <cp:lastPrinted>2021-03-10T08:35:00Z</cp:lastPrinted>
  <dcterms:created xsi:type="dcterms:W3CDTF">2022-07-06T09:42:00Z</dcterms:created>
  <dcterms:modified xsi:type="dcterms:W3CDTF">2022-07-06T09:42:00Z</dcterms:modified>
</cp:coreProperties>
</file>