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67CCA44A" w:rsidR="00DE049A" w:rsidRPr="00A75A11" w:rsidRDefault="00C066F4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C066F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Симбирцев Сергей Александрович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4AFD6D28" w:rsidR="00DE049A" w:rsidRPr="00E21CE6" w:rsidRDefault="00C066F4" w:rsidP="007D2D02">
            <w:pPr>
              <w:ind w:firstLine="0"/>
              <w:rPr>
                <w:iCs/>
                <w:color w:val="FF0000"/>
                <w:szCs w:val="24"/>
              </w:rPr>
            </w:pPr>
            <w:r>
              <w:rPr>
                <w:iCs/>
                <w:szCs w:val="24"/>
              </w:rPr>
              <w:t>10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659ACE79" w14:textId="77777777" w:rsidR="00C066F4" w:rsidRPr="00C066F4" w:rsidRDefault="00C066F4" w:rsidP="00C066F4">
            <w:pPr>
              <w:pStyle w:val="a6"/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F4">
              <w:rPr>
                <w:rFonts w:ascii="Times New Roman" w:hAnsi="Times New Roman"/>
                <w:sz w:val="24"/>
                <w:szCs w:val="24"/>
                <w:lang w:val="ru-RU"/>
              </w:rPr>
              <w:t>Выделение фракций из нефти с помощью метода простой перегонки в</w:t>
            </w:r>
          </w:p>
          <w:p w14:paraId="7EEFF276" w14:textId="77777777" w:rsidR="00C066F4" w:rsidRPr="00C066F4" w:rsidRDefault="00C066F4" w:rsidP="00C066F4">
            <w:pPr>
              <w:pStyle w:val="a6"/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F4">
              <w:rPr>
                <w:rFonts w:ascii="Times New Roman" w:hAnsi="Times New Roman"/>
                <w:sz w:val="24"/>
                <w:szCs w:val="24"/>
                <w:lang w:val="ru-RU"/>
              </w:rPr>
              <w:t>условиях учреждения образования» (на примере Юрубчено-Тохомского</w:t>
            </w:r>
          </w:p>
          <w:p w14:paraId="47C3F3BD" w14:textId="56359865" w:rsidR="00E052A4" w:rsidRPr="00A75A11" w:rsidRDefault="00C066F4" w:rsidP="00C066F4">
            <w:pPr>
              <w:pStyle w:val="a6"/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66F4">
              <w:rPr>
                <w:rFonts w:ascii="Times New Roman" w:hAnsi="Times New Roman"/>
                <w:sz w:val="24"/>
                <w:szCs w:val="24"/>
                <w:lang w:val="ru-RU"/>
              </w:rPr>
              <w:t>месторождения)</w:t>
            </w:r>
          </w:p>
        </w:tc>
      </w:tr>
      <w:tr w:rsidR="00A75A11" w:rsidRPr="00A75A11" w14:paraId="1E34C610" w14:textId="77777777" w:rsidTr="00E21CE6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E21CE6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DE049A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2AE7217C" w14:textId="061D2DE8" w:rsidR="00C066F4" w:rsidRDefault="00693B64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E21CE6">
        <w:rPr>
          <w:sz w:val="28"/>
          <w:szCs w:val="28"/>
        </w:rPr>
        <w:t xml:space="preserve">ые </w:t>
      </w:r>
      <w:r w:rsidR="00C066F4">
        <w:rPr>
          <w:sz w:val="28"/>
          <w:szCs w:val="28"/>
        </w:rPr>
        <w:t>Сергей и Светлана Евгеньевна</w:t>
      </w:r>
      <w:r>
        <w:rPr>
          <w:sz w:val="28"/>
          <w:szCs w:val="28"/>
        </w:rPr>
        <w:t xml:space="preserve">! </w:t>
      </w:r>
      <w:r w:rsidR="00C066F4">
        <w:rPr>
          <w:sz w:val="28"/>
          <w:szCs w:val="28"/>
        </w:rPr>
        <w:t>Ценность вашей работы в том, что вы показали, что доступными ресурсами школьной лаборатории можно проиллюстрировать и глубже понять сложные производственные процессы.</w:t>
      </w:r>
    </w:p>
    <w:p w14:paraId="0D2C0A09" w14:textId="77777777" w:rsidR="00C066F4" w:rsidRDefault="00C066F4" w:rsidP="002811CA">
      <w:pPr>
        <w:rPr>
          <w:sz w:val="28"/>
          <w:szCs w:val="28"/>
        </w:rPr>
      </w:pPr>
    </w:p>
    <w:p w14:paraId="64314A3C" w14:textId="1CB3059A" w:rsidR="00E21CE6" w:rsidRDefault="00E21CE6" w:rsidP="002811CA">
      <w:pPr>
        <w:rPr>
          <w:sz w:val="28"/>
          <w:szCs w:val="28"/>
        </w:rPr>
      </w:pPr>
    </w:p>
    <w:p w14:paraId="77B58D29" w14:textId="5F64A4F8" w:rsidR="00C066F4" w:rsidRPr="00C066F4" w:rsidRDefault="00C066F4" w:rsidP="00C066F4">
      <w:pPr>
        <w:rPr>
          <w:sz w:val="28"/>
          <w:szCs w:val="28"/>
        </w:rPr>
      </w:pPr>
      <w:r w:rsidRPr="00C066F4">
        <w:rPr>
          <w:sz w:val="28"/>
          <w:szCs w:val="28"/>
        </w:rPr>
        <w:t xml:space="preserve">Текст работы у вас, в основном, заимствован. Это легко проверить с помощью любой бесплатной системы «антиплагиат», например, </w:t>
      </w:r>
      <w:hyperlink r:id="rId5" w:history="1">
        <w:r w:rsidRPr="0036430A">
          <w:rPr>
            <w:rStyle w:val="a9"/>
            <w:sz w:val="28"/>
            <w:szCs w:val="28"/>
          </w:rPr>
          <w:t>https://text.ru/antiplagiat/unauthorized</w:t>
        </w:r>
      </w:hyperlink>
      <w:r w:rsidRPr="00C066F4">
        <w:rPr>
          <w:sz w:val="28"/>
          <w:szCs w:val="28"/>
        </w:rPr>
        <w:t xml:space="preserve">. В двух проверенных мною частях содержится </w:t>
      </w:r>
      <w:r>
        <w:rPr>
          <w:sz w:val="28"/>
          <w:szCs w:val="28"/>
        </w:rPr>
        <w:t>менее 10</w:t>
      </w:r>
      <w:r w:rsidRPr="00C066F4">
        <w:rPr>
          <w:sz w:val="28"/>
          <w:szCs w:val="28"/>
        </w:rPr>
        <w:t xml:space="preserve">% самостоятельно написанного теста. Это очень мало даже для обычного реферата. Поэтому оценить, действительно ли </w:t>
      </w:r>
      <w:r>
        <w:rPr>
          <w:sz w:val="28"/>
          <w:szCs w:val="28"/>
        </w:rPr>
        <w:t xml:space="preserve">Сергей </w:t>
      </w:r>
      <w:r w:rsidRPr="00C066F4">
        <w:rPr>
          <w:sz w:val="28"/>
          <w:szCs w:val="28"/>
        </w:rPr>
        <w:t xml:space="preserve">глубоко разобрался в теме, а также понять, что делал </w:t>
      </w:r>
      <w:r>
        <w:rPr>
          <w:sz w:val="28"/>
          <w:szCs w:val="28"/>
        </w:rPr>
        <w:t>Сергей</w:t>
      </w:r>
      <w:r w:rsidRPr="00C066F4">
        <w:rPr>
          <w:sz w:val="28"/>
          <w:szCs w:val="28"/>
        </w:rPr>
        <w:t xml:space="preserve">, а что </w:t>
      </w:r>
      <w:r>
        <w:rPr>
          <w:sz w:val="28"/>
          <w:szCs w:val="28"/>
        </w:rPr>
        <w:t>Светлана Есгеньевна</w:t>
      </w:r>
      <w:r w:rsidRPr="00C066F4">
        <w:rPr>
          <w:sz w:val="28"/>
          <w:szCs w:val="28"/>
        </w:rPr>
        <w:t xml:space="preserve">, выполняя эту работу, невозможно. </w:t>
      </w:r>
    </w:p>
    <w:p w14:paraId="00526907" w14:textId="7493E551" w:rsidR="00E21CE6" w:rsidRDefault="00E21CE6" w:rsidP="00D0635C">
      <w:pPr>
        <w:rPr>
          <w:sz w:val="28"/>
          <w:szCs w:val="28"/>
        </w:rPr>
      </w:pPr>
    </w:p>
    <w:p w14:paraId="1D1A6DBC" w14:textId="77777777" w:rsidR="006765AC" w:rsidRPr="006765AC" w:rsidRDefault="006765AC" w:rsidP="006765AC">
      <w:pPr>
        <w:rPr>
          <w:sz w:val="28"/>
          <w:szCs w:val="28"/>
        </w:rPr>
      </w:pPr>
    </w:p>
    <w:p w14:paraId="34D3DD6F" w14:textId="77777777" w:rsidR="0036191F" w:rsidRPr="00C744B6" w:rsidRDefault="0036191F" w:rsidP="00C744B6">
      <w:pPr>
        <w:pStyle w:val="a8"/>
        <w:ind w:left="1080" w:firstLine="0"/>
        <w:rPr>
          <w:sz w:val="28"/>
          <w:szCs w:val="28"/>
        </w:rPr>
      </w:pPr>
    </w:p>
    <w:p w14:paraId="3EE2AF5C" w14:textId="0DFCBB30" w:rsidR="0071635B" w:rsidRPr="00904553" w:rsidRDefault="00C066F4" w:rsidP="00174C68">
      <w:pPr>
        <w:ind w:firstLine="0"/>
        <w:rPr>
          <w:sz w:val="28"/>
          <w:szCs w:val="28"/>
        </w:rPr>
      </w:pPr>
      <w:r w:rsidRPr="00C066F4">
        <w:rPr>
          <w:szCs w:val="24"/>
        </w:rPr>
        <w:lastRenderedPageBreak/>
        <w:drawing>
          <wp:inline distT="0" distB="0" distL="0" distR="0" wp14:anchorId="33A5EAEB" wp14:editId="1DFCE81E">
            <wp:extent cx="4732444" cy="4440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9872" cy="444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D0942" w14:textId="77777777" w:rsidR="00C066F4" w:rsidRDefault="00C066F4" w:rsidP="00E052A4">
      <w:pPr>
        <w:ind w:firstLine="0"/>
        <w:rPr>
          <w:sz w:val="28"/>
          <w:szCs w:val="28"/>
        </w:rPr>
      </w:pPr>
    </w:p>
    <w:p w14:paraId="147CAEEE" w14:textId="3BCB4EAE" w:rsidR="00C066F4" w:rsidRDefault="00C066F4" w:rsidP="00E052A4">
      <w:pPr>
        <w:ind w:firstLine="0"/>
        <w:rPr>
          <w:sz w:val="28"/>
          <w:szCs w:val="28"/>
        </w:rPr>
      </w:pPr>
      <w:r w:rsidRPr="00C066F4">
        <w:rPr>
          <w:sz w:val="28"/>
          <w:szCs w:val="28"/>
        </w:rPr>
        <w:drawing>
          <wp:inline distT="0" distB="0" distL="0" distR="0" wp14:anchorId="01964933" wp14:editId="225DCF86">
            <wp:extent cx="5940425" cy="45713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409D" w14:textId="493D59E9" w:rsidR="00C066F4" w:rsidRDefault="00C066F4" w:rsidP="00E052A4">
      <w:pPr>
        <w:ind w:firstLine="0"/>
        <w:rPr>
          <w:sz w:val="28"/>
          <w:szCs w:val="28"/>
        </w:rPr>
      </w:pPr>
    </w:p>
    <w:p w14:paraId="162A53E3" w14:textId="5D77FE53" w:rsidR="00C066F4" w:rsidRPr="006765AC" w:rsidRDefault="00C066F4" w:rsidP="00C066F4">
      <w:pPr>
        <w:rPr>
          <w:sz w:val="28"/>
          <w:szCs w:val="28"/>
        </w:rPr>
      </w:pPr>
      <w:r w:rsidRPr="006765AC">
        <w:rPr>
          <w:sz w:val="28"/>
          <w:szCs w:val="28"/>
        </w:rPr>
        <w:lastRenderedPageBreak/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показать, </w:t>
      </w:r>
      <w:r>
        <w:rPr>
          <w:sz w:val="28"/>
          <w:szCs w:val="28"/>
        </w:rPr>
        <w:t xml:space="preserve">каков вклад </w:t>
      </w:r>
      <w:r>
        <w:rPr>
          <w:sz w:val="28"/>
          <w:szCs w:val="28"/>
        </w:rPr>
        <w:t>Сергея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чему он научился</w:t>
      </w:r>
      <w:r w:rsidRPr="006765AC">
        <w:rPr>
          <w:sz w:val="28"/>
          <w:szCs w:val="28"/>
        </w:rPr>
        <w:t>. А в чём состоял вклад в работу руководителя</w:t>
      </w:r>
      <w:r>
        <w:rPr>
          <w:sz w:val="28"/>
          <w:szCs w:val="28"/>
        </w:rPr>
        <w:t>?</w:t>
      </w:r>
      <w:r w:rsidRPr="006765AC">
        <w:rPr>
          <w:sz w:val="28"/>
          <w:szCs w:val="28"/>
        </w:rPr>
        <w:t xml:space="preserve"> Уделить внимание </w:t>
      </w:r>
      <w:r>
        <w:rPr>
          <w:sz w:val="28"/>
          <w:szCs w:val="28"/>
        </w:rPr>
        <w:t>емкому и популярному изложению вашей схемы разделения нефти на фракции, ее отличий от производственной схемы.</w:t>
      </w:r>
    </w:p>
    <w:p w14:paraId="51AF0E78" w14:textId="43CAEEBB" w:rsidR="00C066F4" w:rsidRDefault="00C066F4" w:rsidP="00E052A4">
      <w:pPr>
        <w:ind w:firstLine="0"/>
        <w:rPr>
          <w:sz w:val="28"/>
          <w:szCs w:val="28"/>
        </w:rPr>
      </w:pPr>
    </w:p>
    <w:p w14:paraId="5B354D4E" w14:textId="26E38D38" w:rsidR="00C066F4" w:rsidRDefault="00C066F4" w:rsidP="00E052A4">
      <w:pPr>
        <w:ind w:firstLine="0"/>
        <w:rPr>
          <w:sz w:val="28"/>
          <w:szCs w:val="28"/>
        </w:rPr>
      </w:pPr>
    </w:p>
    <w:p w14:paraId="4EBD318E" w14:textId="77777777" w:rsidR="00C066F4" w:rsidRPr="001E2A28" w:rsidRDefault="00C066F4" w:rsidP="00C066F4">
      <w:pPr>
        <w:rPr>
          <w:sz w:val="28"/>
          <w:szCs w:val="28"/>
        </w:rPr>
      </w:pPr>
      <w:r>
        <w:rPr>
          <w:sz w:val="28"/>
          <w:szCs w:val="28"/>
        </w:rPr>
        <w:t>Успехов!</w:t>
      </w:r>
    </w:p>
    <w:p w14:paraId="02AD55B2" w14:textId="77777777" w:rsidR="00C066F4" w:rsidRDefault="00C066F4" w:rsidP="00E052A4">
      <w:pPr>
        <w:ind w:firstLine="0"/>
        <w:rPr>
          <w:sz w:val="28"/>
          <w:szCs w:val="28"/>
        </w:rPr>
      </w:pPr>
    </w:p>
    <w:p w14:paraId="3C4F0585" w14:textId="77777777" w:rsidR="00C066F4" w:rsidRDefault="00C066F4" w:rsidP="00E052A4">
      <w:pPr>
        <w:ind w:firstLine="0"/>
        <w:rPr>
          <w:sz w:val="28"/>
          <w:szCs w:val="28"/>
        </w:rPr>
      </w:pPr>
    </w:p>
    <w:p w14:paraId="196E3391" w14:textId="03DC7A5D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00A16253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3D89FB84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7B9DF2B0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06089E63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074E832C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3FFD4AC3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221BF96B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2AF010A5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6AB3E692" w:rsidR="007F2269" w:rsidRPr="00A75A11" w:rsidRDefault="00C066F4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9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765AC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066F4"/>
    <w:rsid w:val="00C16AD8"/>
    <w:rsid w:val="00C744B6"/>
    <w:rsid w:val="00CF4F63"/>
    <w:rsid w:val="00D04FD2"/>
    <w:rsid w:val="00D0635C"/>
    <w:rsid w:val="00DE049A"/>
    <w:rsid w:val="00E052A4"/>
    <w:rsid w:val="00E21CE6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66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6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56</cp:revision>
  <cp:lastPrinted>2018-02-08T03:58:00Z</cp:lastPrinted>
  <dcterms:created xsi:type="dcterms:W3CDTF">2018-01-21T11:22:00Z</dcterms:created>
  <dcterms:modified xsi:type="dcterms:W3CDTF">2021-03-09T06:05:00Z</dcterms:modified>
</cp:coreProperties>
</file>