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A32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049A" w:rsidRPr="00A75A11" w14:paraId="4DBCCC5C" w14:textId="77777777" w:rsidTr="00C0754F">
        <w:trPr>
          <w:trHeight w:val="668"/>
        </w:trPr>
        <w:tc>
          <w:tcPr>
            <w:tcW w:w="2268" w:type="dxa"/>
            <w:vAlign w:val="center"/>
          </w:tcPr>
          <w:p w14:paraId="5C71F0E7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1A33BBEA" w14:textId="119D9E0A" w:rsidR="00DE049A" w:rsidRPr="00A75A11" w:rsidRDefault="000B0EB9" w:rsidP="00E052A4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B0EB9">
              <w:rPr>
                <w:rFonts w:ascii="Times New Roman" w:eastAsia="Times New Roman" w:hAnsi="Times New Roman"/>
                <w:sz w:val="24"/>
                <w:szCs w:val="24"/>
              </w:rPr>
              <w:t>Фаркова Карина Васильевна</w:t>
            </w:r>
          </w:p>
        </w:tc>
      </w:tr>
      <w:tr w:rsidR="00DE049A" w:rsidRPr="00A75A11" w14:paraId="4D41A057" w14:textId="77777777" w:rsidTr="00DE049A">
        <w:tc>
          <w:tcPr>
            <w:tcW w:w="2268" w:type="dxa"/>
            <w:vAlign w:val="center"/>
          </w:tcPr>
          <w:p w14:paraId="5EF8C2C8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085558F0" w14:textId="2057CBA8" w:rsidR="00DE049A" w:rsidRPr="00C0754F" w:rsidRDefault="000B0EB9" w:rsidP="007D2D02">
            <w:pPr>
              <w:ind w:firstLine="0"/>
              <w:rPr>
                <w:iCs/>
                <w:color w:val="FF0000"/>
                <w:szCs w:val="24"/>
              </w:rPr>
            </w:pPr>
            <w:r>
              <w:rPr>
                <w:iCs/>
                <w:szCs w:val="24"/>
              </w:rPr>
              <w:t>9</w:t>
            </w:r>
          </w:p>
        </w:tc>
      </w:tr>
      <w:tr w:rsidR="00E052A4" w:rsidRPr="00A75A11" w14:paraId="436A82A3" w14:textId="77777777" w:rsidTr="00456784">
        <w:tc>
          <w:tcPr>
            <w:tcW w:w="2268" w:type="dxa"/>
            <w:vAlign w:val="center"/>
          </w:tcPr>
          <w:p w14:paraId="69B10970" w14:textId="77777777" w:rsidR="00E052A4" w:rsidRPr="00A75A11" w:rsidRDefault="00E052A4" w:rsidP="00E052A4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Название работы</w:t>
            </w:r>
          </w:p>
        </w:tc>
        <w:tc>
          <w:tcPr>
            <w:tcW w:w="7938" w:type="dxa"/>
          </w:tcPr>
          <w:p w14:paraId="47C3F3BD" w14:textId="7BBEAD40" w:rsidR="00E052A4" w:rsidRPr="00A75A11" w:rsidRDefault="000B0EB9" w:rsidP="00E052A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EB9">
              <w:rPr>
                <w:rFonts w:ascii="Times New Roman" w:hAnsi="Times New Roman"/>
                <w:sz w:val="24"/>
                <w:szCs w:val="24"/>
                <w:lang w:val="ru-RU"/>
              </w:rPr>
              <w:t>Числа Фибоначчи в стихах Алитета Николаевича Немтушкина</w:t>
            </w:r>
          </w:p>
        </w:tc>
      </w:tr>
      <w:tr w:rsidR="00A75A11" w:rsidRPr="00A75A11" w14:paraId="1E34C610" w14:textId="77777777" w:rsidTr="004C621C">
        <w:tc>
          <w:tcPr>
            <w:tcW w:w="2268" w:type="dxa"/>
            <w:vAlign w:val="center"/>
          </w:tcPr>
          <w:p w14:paraId="68226D0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0BBE4A4B" w14:textId="58989A9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C0754F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C0754F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Исследовательская работа</w:t>
            </w:r>
          </w:p>
        </w:tc>
      </w:tr>
      <w:tr w:rsidR="00A75A11" w:rsidRPr="00A75A11" w14:paraId="5EEFEEF2" w14:textId="77777777" w:rsidTr="00DE049A">
        <w:tc>
          <w:tcPr>
            <w:tcW w:w="2268" w:type="dxa"/>
            <w:vMerge w:val="restart"/>
            <w:vAlign w:val="center"/>
          </w:tcPr>
          <w:p w14:paraId="699F0AB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6BAD9C" w14:textId="716F7AEE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A75A11" w:rsidRPr="00A75A11" w14:paraId="2F9C1236" w14:textId="77777777" w:rsidTr="004C621C">
        <w:tc>
          <w:tcPr>
            <w:tcW w:w="2268" w:type="dxa"/>
            <w:vMerge/>
            <w:vAlign w:val="center"/>
          </w:tcPr>
          <w:p w14:paraId="35AE9960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063EBB17" w14:textId="5CCBE1C3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реферат, лабораторная работа и т.д.)</w:t>
            </w:r>
          </w:p>
        </w:tc>
      </w:tr>
    </w:tbl>
    <w:p w14:paraId="11736595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130CAEF1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604591AD" w14:textId="77777777" w:rsidR="007D2D02" w:rsidRDefault="007D2D02" w:rsidP="00174C68">
      <w:pPr>
        <w:ind w:firstLine="0"/>
        <w:rPr>
          <w:sz w:val="28"/>
          <w:szCs w:val="28"/>
        </w:rPr>
      </w:pPr>
    </w:p>
    <w:p w14:paraId="49F21C57" w14:textId="28A55D9B" w:rsidR="000B0EB9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0B0EB9">
        <w:rPr>
          <w:sz w:val="28"/>
          <w:szCs w:val="28"/>
        </w:rPr>
        <w:t xml:space="preserve">ая Карина! Твоя работа примечательна необычным сочетанием объекта – поэтического произведения и </w:t>
      </w:r>
      <w:r w:rsidR="004C621C">
        <w:rPr>
          <w:sz w:val="28"/>
          <w:szCs w:val="28"/>
        </w:rPr>
        <w:t>поиска в этом объекта математического отношения</w:t>
      </w:r>
      <w:r w:rsidR="000B0EB9">
        <w:rPr>
          <w:sz w:val="28"/>
          <w:szCs w:val="28"/>
        </w:rPr>
        <w:t xml:space="preserve">. В твоем случае делается попытка выделения в стихах отношений, подобных золотому сечению в изобразительном искусстве. Числа Фибоначчи и золотое сечение – это количественные характеристики разделения величины в данной отношении. Возникает вопрос, </w:t>
      </w:r>
      <w:r w:rsidR="004C621C">
        <w:rPr>
          <w:sz w:val="28"/>
          <w:szCs w:val="28"/>
        </w:rPr>
        <w:t>с</w:t>
      </w:r>
      <w:r w:rsidR="000B0EB9">
        <w:rPr>
          <w:sz w:val="28"/>
          <w:szCs w:val="28"/>
        </w:rPr>
        <w:t xml:space="preserve"> какими количественными характеристиками стиха ты работаешь? Как выделяются эти характеристики? Каков общий способ сопоставить стиху число?  Текст написан так, как будто такой метод анализа стихотворения является общеизвестным и не требует пояснений. При подготовке доклада нужно более четко сформулировать принципы сопоставления. </w:t>
      </w:r>
    </w:p>
    <w:p w14:paraId="63FDD02F" w14:textId="77777777" w:rsidR="00C0754F" w:rsidRDefault="00C0754F" w:rsidP="002811CA">
      <w:pPr>
        <w:rPr>
          <w:sz w:val="28"/>
          <w:szCs w:val="28"/>
        </w:rPr>
      </w:pPr>
    </w:p>
    <w:p w14:paraId="07C43ED7" w14:textId="7E80D657" w:rsidR="007C0548" w:rsidRDefault="007C0548" w:rsidP="002811CA">
      <w:pPr>
        <w:rPr>
          <w:sz w:val="28"/>
          <w:szCs w:val="28"/>
        </w:rPr>
      </w:pPr>
    </w:p>
    <w:p w14:paraId="2FABD54C" w14:textId="270ED749" w:rsidR="00C0754F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 xml:space="preserve">Уважаемая </w:t>
      </w:r>
      <w:r w:rsidR="004C621C">
        <w:rPr>
          <w:sz w:val="28"/>
          <w:szCs w:val="28"/>
        </w:rPr>
        <w:t>Вера Васильевна</w:t>
      </w:r>
      <w:r>
        <w:rPr>
          <w:sz w:val="28"/>
          <w:szCs w:val="28"/>
        </w:rPr>
        <w:t>!</w:t>
      </w:r>
    </w:p>
    <w:p w14:paraId="3F9E9B33" w14:textId="1CBFD48D" w:rsidR="00C0754F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21C">
        <w:rPr>
          <w:sz w:val="28"/>
          <w:szCs w:val="28"/>
        </w:rPr>
        <w:t xml:space="preserve">Золотое сечение – не столько математическое, сколько общекультурное понятие. Вы не используете для анализа стихов математические методы, поэтому нельзя сказать, что вы проводите математический анализ. Здесь математика используется в той же мере, что и при разрезании пиццы на равные части – как опорная модель для понимания. Работа ценна тем, что обнаруживает наличие золотого сечения как гармоничного отношения не только в изобразительном искусстве и архитектуре, но и в поэзии, что подтверждает его универсальность. </w:t>
      </w:r>
    </w:p>
    <w:p w14:paraId="39835D41" w14:textId="17D70141" w:rsidR="00C0754F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C621C">
        <w:rPr>
          <w:sz w:val="28"/>
          <w:szCs w:val="28"/>
        </w:rPr>
        <w:t>Гипотезу нужно или переформулировать, или пояснить слово «присутствуют»</w:t>
      </w:r>
      <w:r>
        <w:rPr>
          <w:sz w:val="28"/>
          <w:szCs w:val="28"/>
        </w:rPr>
        <w:t>.</w:t>
      </w:r>
    </w:p>
    <w:p w14:paraId="2C7F2B5A" w14:textId="555EFD62" w:rsidR="001D4FE9" w:rsidRDefault="00C0754F" w:rsidP="004C621C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4C621C">
        <w:rPr>
          <w:sz w:val="28"/>
          <w:szCs w:val="28"/>
        </w:rPr>
        <w:t xml:space="preserve"> У вас получилась исследовательская работа со слабо осознанным методологическим аппаратом. Как мне кажется, исследовательский вопрос связан с тем, является ли структура золотого сечения в стихе существенной для того, чтобы стихи были «красивыми, гармоничными». Для ответа на этот вопрос исследовано мало эмпирического материала, исследование можно продолжить при условии выделения общего способа поиска «золотой гармонии» в стихах разных авторов.</w:t>
      </w:r>
    </w:p>
    <w:p w14:paraId="7623529D" w14:textId="442544E0" w:rsidR="001D4FE9" w:rsidRDefault="001D4FE9" w:rsidP="002811CA">
      <w:pPr>
        <w:rPr>
          <w:sz w:val="28"/>
          <w:szCs w:val="28"/>
        </w:rPr>
      </w:pPr>
    </w:p>
    <w:p w14:paraId="3C1BAC66" w14:textId="57CC4921" w:rsidR="001D4FE9" w:rsidRPr="001D4FE9" w:rsidRDefault="001D4FE9" w:rsidP="001D4FE9">
      <w:pPr>
        <w:rPr>
          <w:sz w:val="28"/>
          <w:szCs w:val="28"/>
        </w:rPr>
      </w:pPr>
      <w:r w:rsidRPr="001D4FE9">
        <w:rPr>
          <w:sz w:val="28"/>
          <w:szCs w:val="28"/>
        </w:rPr>
        <w:t xml:space="preserve">Для подготовки к выступлению, в этом году записи видео с докладом, вам необходимо посмотреть критерии оценивания докладов. С помощью </w:t>
      </w:r>
      <w:r w:rsidRPr="001D4FE9">
        <w:rPr>
          <w:sz w:val="28"/>
          <w:szCs w:val="28"/>
        </w:rPr>
        <w:lastRenderedPageBreak/>
        <w:t xml:space="preserve">доклада и вопросов не забыть показать, каков вклад </w:t>
      </w:r>
      <w:r w:rsidR="004C621C">
        <w:rPr>
          <w:sz w:val="28"/>
          <w:szCs w:val="28"/>
        </w:rPr>
        <w:t>Карины</w:t>
      </w:r>
      <w:r w:rsidRPr="001D4FE9">
        <w:rPr>
          <w:sz w:val="28"/>
          <w:szCs w:val="28"/>
        </w:rPr>
        <w:t>, чему он</w:t>
      </w:r>
      <w:r w:rsidR="004C621C">
        <w:rPr>
          <w:sz w:val="28"/>
          <w:szCs w:val="28"/>
        </w:rPr>
        <w:t>а</w:t>
      </w:r>
      <w:r w:rsidRPr="001D4FE9">
        <w:rPr>
          <w:sz w:val="28"/>
          <w:szCs w:val="28"/>
        </w:rPr>
        <w:t xml:space="preserve"> научил</w:t>
      </w:r>
      <w:r w:rsidR="004C621C">
        <w:rPr>
          <w:sz w:val="28"/>
          <w:szCs w:val="28"/>
        </w:rPr>
        <w:t>а</w:t>
      </w:r>
      <w:r w:rsidRPr="001D4FE9">
        <w:rPr>
          <w:sz w:val="28"/>
          <w:szCs w:val="28"/>
        </w:rPr>
        <w:t>с</w:t>
      </w:r>
      <w:r w:rsidR="004C621C">
        <w:rPr>
          <w:sz w:val="28"/>
          <w:szCs w:val="28"/>
        </w:rPr>
        <w:t>ь</w:t>
      </w:r>
      <w:r w:rsidRPr="001D4FE9">
        <w:rPr>
          <w:sz w:val="28"/>
          <w:szCs w:val="28"/>
        </w:rPr>
        <w:t xml:space="preserve">. А в чём состоял вклад в работу руководителя? Уделить внимание емкому и популярному изложению </w:t>
      </w:r>
      <w:r w:rsidR="004C621C">
        <w:rPr>
          <w:sz w:val="28"/>
          <w:szCs w:val="28"/>
        </w:rPr>
        <w:t>общего способа анализа стиха</w:t>
      </w:r>
      <w:r w:rsidRPr="001D4FE9">
        <w:rPr>
          <w:sz w:val="28"/>
          <w:szCs w:val="28"/>
        </w:rPr>
        <w:t>.</w:t>
      </w:r>
    </w:p>
    <w:p w14:paraId="0CB1A20B" w14:textId="77777777" w:rsidR="001D4FE9" w:rsidRPr="001D4FE9" w:rsidRDefault="001D4FE9" w:rsidP="001D4FE9">
      <w:pPr>
        <w:rPr>
          <w:sz w:val="28"/>
          <w:szCs w:val="28"/>
        </w:rPr>
      </w:pPr>
    </w:p>
    <w:p w14:paraId="15A2436F" w14:textId="77777777" w:rsidR="001D4FE9" w:rsidRPr="001D4FE9" w:rsidRDefault="001D4FE9" w:rsidP="001D4FE9">
      <w:pPr>
        <w:rPr>
          <w:sz w:val="28"/>
          <w:szCs w:val="28"/>
        </w:rPr>
      </w:pPr>
    </w:p>
    <w:p w14:paraId="64D01852" w14:textId="0D01BF16" w:rsidR="001D4FE9" w:rsidRDefault="001D4FE9" w:rsidP="001D4FE9">
      <w:pPr>
        <w:rPr>
          <w:sz w:val="28"/>
          <w:szCs w:val="28"/>
        </w:rPr>
      </w:pPr>
      <w:r w:rsidRPr="001D4FE9">
        <w:rPr>
          <w:sz w:val="28"/>
          <w:szCs w:val="28"/>
        </w:rPr>
        <w:t>Успехов!</w:t>
      </w:r>
    </w:p>
    <w:p w14:paraId="3FFB2A66" w14:textId="77777777" w:rsidR="00C0754F" w:rsidRDefault="00C0754F" w:rsidP="002811CA">
      <w:pPr>
        <w:rPr>
          <w:sz w:val="28"/>
          <w:szCs w:val="28"/>
        </w:rPr>
      </w:pPr>
    </w:p>
    <w:p w14:paraId="5E1FB2AB" w14:textId="77777777" w:rsidR="00C0754F" w:rsidRDefault="00C0754F" w:rsidP="002811CA">
      <w:pPr>
        <w:rPr>
          <w:sz w:val="28"/>
          <w:szCs w:val="28"/>
        </w:rPr>
      </w:pPr>
    </w:p>
    <w:p w14:paraId="196E3391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Знаменская Оксана Витальевна</w:t>
      </w:r>
      <w:r w:rsidRPr="00904553">
        <w:rPr>
          <w:sz w:val="28"/>
          <w:szCs w:val="28"/>
        </w:rPr>
        <w:t>,</w:t>
      </w:r>
    </w:p>
    <w:p w14:paraId="33BCFEAB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904553">
        <w:rPr>
          <w:sz w:val="28"/>
          <w:szCs w:val="28"/>
        </w:rPr>
        <w:t>,</w:t>
      </w:r>
    </w:p>
    <w:p w14:paraId="7482BA6A" w14:textId="4B486406" w:rsidR="00E052A4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Pr="00904553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Института педагогики, психологии и социологии Сибирского федерального университета</w:t>
      </w:r>
    </w:p>
    <w:p w14:paraId="333218AA" w14:textId="23E90D79" w:rsidR="00A75A11" w:rsidRDefault="00A75A11" w:rsidP="00E052A4">
      <w:pPr>
        <w:ind w:firstLine="0"/>
        <w:rPr>
          <w:sz w:val="28"/>
          <w:szCs w:val="28"/>
        </w:rPr>
      </w:pPr>
    </w:p>
    <w:p w14:paraId="56365B9C" w14:textId="50FA7CC7" w:rsidR="007F2269" w:rsidRDefault="007F2269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9"/>
        <w:gridCol w:w="2249"/>
        <w:gridCol w:w="5996"/>
        <w:gridCol w:w="829"/>
      </w:tblGrid>
      <w:tr w:rsidR="007F2269" w:rsidRPr="007F2269" w14:paraId="6C226995" w14:textId="7A623D38" w:rsidTr="007F2269">
        <w:trPr>
          <w:trHeight w:val="416"/>
        </w:trPr>
        <w:tc>
          <w:tcPr>
            <w:tcW w:w="419" w:type="dxa"/>
            <w:vAlign w:val="center"/>
          </w:tcPr>
          <w:p w14:paraId="4490EDA5" w14:textId="2DEEEF6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2264" w:type="dxa"/>
            <w:vAlign w:val="center"/>
          </w:tcPr>
          <w:p w14:paraId="06F99F4C" w14:textId="4466CF28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Критерий</w:t>
            </w:r>
          </w:p>
        </w:tc>
        <w:tc>
          <w:tcPr>
            <w:tcW w:w="6190" w:type="dxa"/>
            <w:vAlign w:val="center"/>
          </w:tcPr>
          <w:p w14:paraId="3160DD9C" w14:textId="490AD322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Расшифровка критерия</w:t>
            </w:r>
          </w:p>
        </w:tc>
        <w:tc>
          <w:tcPr>
            <w:tcW w:w="620" w:type="dxa"/>
            <w:vAlign w:val="center"/>
          </w:tcPr>
          <w:p w14:paraId="25D392A5" w14:textId="5E644320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Баллы</w:t>
            </w:r>
          </w:p>
        </w:tc>
      </w:tr>
      <w:tr w:rsidR="007F2269" w:rsidRPr="007F2269" w14:paraId="4FEB2BD8" w14:textId="40AD7CD0" w:rsidTr="007F2269">
        <w:tc>
          <w:tcPr>
            <w:tcW w:w="419" w:type="dxa"/>
          </w:tcPr>
          <w:p w14:paraId="7F397701" w14:textId="07405ABD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5A97678F" w14:textId="18EC0416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Культура цитирования (оформление ссылок и списка литературы)</w:t>
            </w:r>
          </w:p>
        </w:tc>
        <w:tc>
          <w:tcPr>
            <w:tcW w:w="6190" w:type="dxa"/>
          </w:tcPr>
          <w:p w14:paraId="4AE7EB89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ссылки и цитаты в основной части работы отсутствуют, список литературы оформлен не по требованиям или отсутствует;</w:t>
            </w:r>
          </w:p>
          <w:p w14:paraId="3E43CF98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частично соблюдены требования к оформлению ссылок и цитат, списка литературы.</w:t>
            </w:r>
          </w:p>
          <w:p w14:paraId="7D6CBF13" w14:textId="25A0AD7E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полностью соблюдены требования к оформлению ссылок и цитат, списка литературы.</w:t>
            </w:r>
          </w:p>
        </w:tc>
        <w:tc>
          <w:tcPr>
            <w:tcW w:w="620" w:type="dxa"/>
          </w:tcPr>
          <w:p w14:paraId="5A9A0C3B" w14:textId="598402C7" w:rsidR="007F2269" w:rsidRPr="00A75A11" w:rsidRDefault="004C621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05B14F14" w14:textId="62D41703" w:rsidTr="00A75A11">
        <w:trPr>
          <w:trHeight w:val="1713"/>
        </w:trPr>
        <w:tc>
          <w:tcPr>
            <w:tcW w:w="419" w:type="dxa"/>
          </w:tcPr>
          <w:p w14:paraId="0BFDE5B3" w14:textId="4AE5C89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661AA8B" w14:textId="1FEA692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Соблюдение стандарта оформления (соответствие форматированию, которое задано в Положении)</w:t>
            </w:r>
          </w:p>
        </w:tc>
        <w:tc>
          <w:tcPr>
            <w:tcW w:w="6190" w:type="dxa"/>
          </w:tcPr>
          <w:p w14:paraId="7814FA14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тд);</w:t>
            </w:r>
          </w:p>
          <w:p w14:paraId="57CABF7C" w14:textId="57DAD1B4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целом соблюдены требования к оформлению, есть мелкие</w:t>
            </w:r>
            <w:r w:rsidR="00A75A11">
              <w:rPr>
                <w:rFonts w:eastAsia="Calibri"/>
                <w:sz w:val="20"/>
              </w:rPr>
              <w:t xml:space="preserve"> </w:t>
            </w:r>
            <w:r w:rsidRPr="007F2269">
              <w:rPr>
                <w:rFonts w:eastAsia="Calibri"/>
                <w:sz w:val="20"/>
              </w:rPr>
              <w:t>нарушения в оформлении;</w:t>
            </w:r>
          </w:p>
          <w:p w14:paraId="0BD857E9" w14:textId="1282D114" w:rsidR="007F2269" w:rsidRPr="00A75A11" w:rsidRDefault="007F2269" w:rsidP="00A75A11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работа оформлена по требованиям, заданным в Положении.</w:t>
            </w:r>
          </w:p>
        </w:tc>
        <w:tc>
          <w:tcPr>
            <w:tcW w:w="620" w:type="dxa"/>
          </w:tcPr>
          <w:p w14:paraId="7D83B749" w14:textId="543137FD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457BA8DD" w14:textId="411B6C9F" w:rsidTr="007F2269">
        <w:tc>
          <w:tcPr>
            <w:tcW w:w="419" w:type="dxa"/>
          </w:tcPr>
          <w:p w14:paraId="7E33660A" w14:textId="6C4E4BE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EDD9AAD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Орфографическая и пунктуационная грамотность</w:t>
            </w:r>
          </w:p>
          <w:p w14:paraId="14DE7B2E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5E9F14C3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 xml:space="preserve">0б </w:t>
            </w:r>
            <w:r w:rsidRPr="007F2269">
              <w:rPr>
                <w:rFonts w:eastAsia="Calibri"/>
                <w:sz w:val="20"/>
              </w:rPr>
              <w:t>– в тексте допущены орфографические или пунктуационные ошибки;</w:t>
            </w:r>
          </w:p>
          <w:p w14:paraId="36285CC4" w14:textId="5683A342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тексте отсутствуют орфографические и пунктуационные ошибки</w:t>
            </w:r>
          </w:p>
        </w:tc>
        <w:tc>
          <w:tcPr>
            <w:tcW w:w="620" w:type="dxa"/>
          </w:tcPr>
          <w:p w14:paraId="5422E867" w14:textId="7F3DC7F6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1A986193" w14:textId="5A3A8CAF" w:rsidTr="007F2269">
        <w:tc>
          <w:tcPr>
            <w:tcW w:w="419" w:type="dxa"/>
          </w:tcPr>
          <w:p w14:paraId="340A021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EFE59EE" w14:textId="76BA8B39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Субъективная новизна</w:t>
            </w:r>
          </w:p>
        </w:tc>
        <w:tc>
          <w:tcPr>
            <w:tcW w:w="6190" w:type="dxa"/>
          </w:tcPr>
          <w:p w14:paraId="0CB61F4A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      </w:r>
          </w:p>
          <w:p w14:paraId="41DB1646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субъективная новизна: что не знал САМ до начала исследования, но узнал во время и после (не умел – научился)</w:t>
            </w:r>
          </w:p>
          <w:p w14:paraId="7ECD0727" w14:textId="0CF264B5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      </w:r>
          </w:p>
        </w:tc>
        <w:tc>
          <w:tcPr>
            <w:tcW w:w="620" w:type="dxa"/>
          </w:tcPr>
          <w:p w14:paraId="13340A8A" w14:textId="0B709592" w:rsidR="007F2269" w:rsidRPr="00A75A11" w:rsidRDefault="004C621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0E50C79B" w14:textId="4E85185D" w:rsidTr="007F2269">
        <w:tc>
          <w:tcPr>
            <w:tcW w:w="419" w:type="dxa"/>
          </w:tcPr>
          <w:p w14:paraId="62E4085C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CA62FBE" w14:textId="4DD05E3F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Методологический аппарат исследования</w:t>
            </w:r>
          </w:p>
          <w:p w14:paraId="6121A7F5" w14:textId="7E82619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(«проблема» – гипотеза – цель – объект – предмет – задачи – методы – результаты)</w:t>
            </w:r>
          </w:p>
        </w:tc>
        <w:tc>
          <w:tcPr>
            <w:tcW w:w="6190" w:type="dxa"/>
          </w:tcPr>
          <w:p w14:paraId="4D542939" w14:textId="0C4E8ADC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Методы и методики, используемые в работе</w:t>
            </w:r>
            <w:r w:rsidRPr="00A75A11">
              <w:rPr>
                <w:rFonts w:eastAsia="Calibri"/>
                <w:b/>
                <w:bCs/>
                <w:sz w:val="20"/>
              </w:rPr>
              <w:t xml:space="preserve">. </w:t>
            </w:r>
            <w:r w:rsidRPr="007F2269">
              <w:rPr>
                <w:rFonts w:eastAsia="Calibri"/>
                <w:b/>
                <w:bCs/>
                <w:sz w:val="20"/>
              </w:rPr>
              <w:t>Фиксация объекта и предмета исследования; гипотеза о наблюдаемом явлении</w:t>
            </w:r>
          </w:p>
          <w:p w14:paraId="5AAE4E0B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      </w:r>
          </w:p>
          <w:p w14:paraId="6BF4F22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      </w:r>
          </w:p>
          <w:p w14:paraId="2EFAD38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2б </w:t>
            </w:r>
            <w:r w:rsidRPr="007F2269">
              <w:rPr>
                <w:rFonts w:eastAsia="Calibri"/>
                <w:bCs/>
                <w:sz w:val="20"/>
              </w:rPr>
      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      </w:r>
          </w:p>
          <w:p w14:paraId="6791CA9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3б</w:t>
            </w:r>
            <w:r w:rsidRPr="007F2269">
              <w:rPr>
                <w:rFonts w:eastAsia="Calibri"/>
                <w:bCs/>
                <w:sz w:val="20"/>
              </w:rPr>
      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      </w:r>
          </w:p>
          <w:p w14:paraId="6335497A" w14:textId="5065CAF1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4б – </w:t>
            </w:r>
            <w:r w:rsidRPr="007F2269">
              <w:rPr>
                <w:rFonts w:eastAsia="Calibri"/>
                <w:bCs/>
                <w:sz w:val="20"/>
              </w:rPr>
      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</w:t>
            </w:r>
            <w:r w:rsidRPr="00A75A11">
              <w:rPr>
                <w:rFonts w:eastAsia="Calibri"/>
                <w:bCs/>
                <w:sz w:val="20"/>
              </w:rPr>
              <w:t>-</w:t>
            </w:r>
            <w:r w:rsidRPr="007F2269">
              <w:rPr>
                <w:rFonts w:eastAsia="Calibri"/>
                <w:bCs/>
                <w:sz w:val="20"/>
              </w:rPr>
              <w:t>научного исследования) пояснить, как применялись методы, как полученные результаты связаны с гипотезой и пр.</w:t>
            </w:r>
          </w:p>
        </w:tc>
        <w:tc>
          <w:tcPr>
            <w:tcW w:w="620" w:type="dxa"/>
          </w:tcPr>
          <w:p w14:paraId="63048585" w14:textId="5CC0BE1E" w:rsidR="007F2269" w:rsidRPr="00A75A11" w:rsidRDefault="004C621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4B1A8CF2" w14:textId="3F832212" w:rsidTr="007F2269">
        <w:tc>
          <w:tcPr>
            <w:tcW w:w="419" w:type="dxa"/>
          </w:tcPr>
          <w:p w14:paraId="4C064991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89686CF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теоретической части</w:t>
            </w:r>
          </w:p>
          <w:p w14:paraId="28412BB9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09F28E46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с высоким уровнем заимствования (плагиата).</w:t>
            </w:r>
          </w:p>
          <w:p w14:paraId="3948C9C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– коллекция материалов из разных источников</w:t>
            </w:r>
          </w:p>
          <w:p w14:paraId="3870BF0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2б</w:t>
            </w:r>
            <w:r w:rsidRPr="007F2269">
              <w:rPr>
                <w:rFonts w:eastAsia="Calibri"/>
                <w:bCs/>
                <w:sz w:val="20"/>
              </w:rPr>
              <w:t xml:space="preserve"> – присутствует анализ и обобщение изученного материала (имеются собственные систематизирующие схемы, таблицы, </w:t>
            </w:r>
            <w:r w:rsidRPr="007F2269">
              <w:rPr>
                <w:rFonts w:eastAsia="Calibri"/>
                <w:bCs/>
                <w:sz w:val="20"/>
              </w:rPr>
              <w:lastRenderedPageBreak/>
              <w:t>диаграммы, ментальные карты, иные способы систематизации и обобщения).</w:t>
            </w:r>
          </w:p>
          <w:p w14:paraId="67372F32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20" w:type="dxa"/>
          </w:tcPr>
          <w:p w14:paraId="24BEF5D1" w14:textId="5D555E29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lastRenderedPageBreak/>
              <w:t>1</w:t>
            </w:r>
          </w:p>
        </w:tc>
      </w:tr>
      <w:tr w:rsidR="007F2269" w:rsidRPr="007F2269" w14:paraId="45302BAB" w14:textId="4CE90E45" w:rsidTr="007F2269">
        <w:tc>
          <w:tcPr>
            <w:tcW w:w="419" w:type="dxa"/>
          </w:tcPr>
          <w:p w14:paraId="549DFC7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6B362B7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практической части</w:t>
            </w:r>
          </w:p>
          <w:p w14:paraId="4BEAAE21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14F640E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не отделена от теоретической или/и содержит заимствованные описания опытов, фактологической информации и т.д., не содержит описания проведенной автором работы. Или применяются некорректные методы.</w:t>
            </w:r>
          </w:p>
          <w:p w14:paraId="0527067A" w14:textId="2E363D0D" w:rsidR="007F2269" w:rsidRPr="00A75A11" w:rsidRDefault="007F2269" w:rsidP="00A75A11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      </w:r>
            <w:r w:rsidRPr="007F2269">
              <w:rPr>
                <w:rFonts w:eastAsia="Calibri"/>
                <w:sz w:val="20"/>
              </w:rPr>
              <w:br/>
            </w:r>
            <w:r w:rsidRPr="007F2269">
              <w:rPr>
                <w:rFonts w:eastAsia="Calibri"/>
                <w:b/>
                <w:sz w:val="20"/>
              </w:rPr>
              <w:t xml:space="preserve">2б </w:t>
            </w:r>
            <w:r w:rsidRPr="007F2269">
              <w:rPr>
                <w:rFonts w:eastAsia="Calibri"/>
                <w:sz w:val="20"/>
              </w:rPr>
              <w:t>– 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      </w:r>
          </w:p>
        </w:tc>
        <w:tc>
          <w:tcPr>
            <w:tcW w:w="620" w:type="dxa"/>
          </w:tcPr>
          <w:p w14:paraId="23D54183" w14:textId="64805193" w:rsidR="007F2269" w:rsidRPr="00A75A11" w:rsidRDefault="004C621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66C539ED" w14:textId="77777777" w:rsidTr="007F2269">
        <w:tc>
          <w:tcPr>
            <w:tcW w:w="419" w:type="dxa"/>
          </w:tcPr>
          <w:p w14:paraId="23C7B57B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F89F165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190" w:type="dxa"/>
          </w:tcPr>
          <w:p w14:paraId="29FE94FF" w14:textId="40A3A6BE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A75A11">
              <w:rPr>
                <w:rFonts w:eastAsia="Calibri"/>
                <w:b/>
                <w:bCs/>
                <w:sz w:val="20"/>
              </w:rPr>
              <w:t>ИТОГО</w:t>
            </w:r>
          </w:p>
        </w:tc>
        <w:tc>
          <w:tcPr>
            <w:tcW w:w="620" w:type="dxa"/>
          </w:tcPr>
          <w:p w14:paraId="26A6C44B" w14:textId="7D1A9555" w:rsidR="007F2269" w:rsidRPr="00A75A11" w:rsidRDefault="004C621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10</w:t>
            </w:r>
          </w:p>
        </w:tc>
      </w:tr>
    </w:tbl>
    <w:p w14:paraId="08F6F406" w14:textId="77777777" w:rsidR="007F2269" w:rsidRPr="007F2269" w:rsidRDefault="007F2269" w:rsidP="007F2269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</w:rPr>
      </w:pPr>
    </w:p>
    <w:bookmarkEnd w:id="0"/>
    <w:p w14:paraId="3491CC83" w14:textId="77777777" w:rsidR="00E052A4" w:rsidRPr="00904553" w:rsidRDefault="00E052A4" w:rsidP="00E052A4">
      <w:pPr>
        <w:ind w:firstLine="0"/>
        <w:rPr>
          <w:szCs w:val="24"/>
        </w:rPr>
      </w:pPr>
    </w:p>
    <w:sectPr w:rsidR="00E052A4" w:rsidRPr="00904553" w:rsidSect="007A0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B7827"/>
    <w:multiLevelType w:val="hybridMultilevel"/>
    <w:tmpl w:val="0FD84960"/>
    <w:lvl w:ilvl="0" w:tplc="FA46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71D21"/>
    <w:multiLevelType w:val="hybridMultilevel"/>
    <w:tmpl w:val="2EC0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2B2D"/>
    <w:multiLevelType w:val="hybridMultilevel"/>
    <w:tmpl w:val="6A862796"/>
    <w:lvl w:ilvl="0" w:tplc="D36A1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205DC"/>
    <w:multiLevelType w:val="hybridMultilevel"/>
    <w:tmpl w:val="D7C2CC8C"/>
    <w:lvl w:ilvl="0" w:tplc="F6C46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3023A"/>
    <w:rsid w:val="00044F65"/>
    <w:rsid w:val="000936A0"/>
    <w:rsid w:val="000A1DB3"/>
    <w:rsid w:val="000B0EB9"/>
    <w:rsid w:val="000C7043"/>
    <w:rsid w:val="001019B9"/>
    <w:rsid w:val="00113E50"/>
    <w:rsid w:val="0015125E"/>
    <w:rsid w:val="00157D76"/>
    <w:rsid w:val="00174C68"/>
    <w:rsid w:val="001A14F1"/>
    <w:rsid w:val="001D4FE9"/>
    <w:rsid w:val="001E2A28"/>
    <w:rsid w:val="00204455"/>
    <w:rsid w:val="0025279C"/>
    <w:rsid w:val="002811CA"/>
    <w:rsid w:val="002825FE"/>
    <w:rsid w:val="002848BD"/>
    <w:rsid w:val="002D4EE3"/>
    <w:rsid w:val="002D4FDE"/>
    <w:rsid w:val="002D6EFD"/>
    <w:rsid w:val="00304537"/>
    <w:rsid w:val="00346AB4"/>
    <w:rsid w:val="00347FE2"/>
    <w:rsid w:val="0036191F"/>
    <w:rsid w:val="003A6294"/>
    <w:rsid w:val="003C0837"/>
    <w:rsid w:val="003E3CA7"/>
    <w:rsid w:val="003E7E58"/>
    <w:rsid w:val="003F3765"/>
    <w:rsid w:val="004237A4"/>
    <w:rsid w:val="00456784"/>
    <w:rsid w:val="00495509"/>
    <w:rsid w:val="004C4C77"/>
    <w:rsid w:val="004C621C"/>
    <w:rsid w:val="004D740C"/>
    <w:rsid w:val="005242DF"/>
    <w:rsid w:val="00534A81"/>
    <w:rsid w:val="0053614D"/>
    <w:rsid w:val="005A4A8B"/>
    <w:rsid w:val="00621E07"/>
    <w:rsid w:val="00655F86"/>
    <w:rsid w:val="00693B64"/>
    <w:rsid w:val="006B5317"/>
    <w:rsid w:val="0071635B"/>
    <w:rsid w:val="007310C8"/>
    <w:rsid w:val="0076071B"/>
    <w:rsid w:val="00764C9F"/>
    <w:rsid w:val="00766A09"/>
    <w:rsid w:val="00774AAE"/>
    <w:rsid w:val="007A0A91"/>
    <w:rsid w:val="007A6E40"/>
    <w:rsid w:val="007C0548"/>
    <w:rsid w:val="007D1FD5"/>
    <w:rsid w:val="007D2D02"/>
    <w:rsid w:val="007F2269"/>
    <w:rsid w:val="00830EF4"/>
    <w:rsid w:val="00904553"/>
    <w:rsid w:val="00907AD3"/>
    <w:rsid w:val="00920D60"/>
    <w:rsid w:val="00927176"/>
    <w:rsid w:val="00935409"/>
    <w:rsid w:val="00966312"/>
    <w:rsid w:val="009801D8"/>
    <w:rsid w:val="009820CF"/>
    <w:rsid w:val="009F2C83"/>
    <w:rsid w:val="00A178EC"/>
    <w:rsid w:val="00A2296E"/>
    <w:rsid w:val="00A24F01"/>
    <w:rsid w:val="00A700E9"/>
    <w:rsid w:val="00A75467"/>
    <w:rsid w:val="00A75A11"/>
    <w:rsid w:val="00AA0BD0"/>
    <w:rsid w:val="00AA179D"/>
    <w:rsid w:val="00AC01C3"/>
    <w:rsid w:val="00AD777E"/>
    <w:rsid w:val="00B166F6"/>
    <w:rsid w:val="00B27664"/>
    <w:rsid w:val="00BE151C"/>
    <w:rsid w:val="00BE6BFC"/>
    <w:rsid w:val="00C0754F"/>
    <w:rsid w:val="00C16AD8"/>
    <w:rsid w:val="00C744B6"/>
    <w:rsid w:val="00CF4F63"/>
    <w:rsid w:val="00D04FD2"/>
    <w:rsid w:val="00D0635C"/>
    <w:rsid w:val="00DE049A"/>
    <w:rsid w:val="00E052A4"/>
    <w:rsid w:val="00E55EB9"/>
    <w:rsid w:val="00E57E79"/>
    <w:rsid w:val="00F0704E"/>
    <w:rsid w:val="00F14553"/>
    <w:rsid w:val="00F150B9"/>
    <w:rsid w:val="00F549B8"/>
    <w:rsid w:val="00F7490A"/>
    <w:rsid w:val="00FA7558"/>
    <w:rsid w:val="00FC0C62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179"/>
  <w15:chartTrackingRefBased/>
  <w15:docId w15:val="{89827B62-FAB1-4751-8E17-D3C8F16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E052A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E052A4"/>
    <w:rPr>
      <w:rFonts w:ascii="Calibri" w:eastAsia="Calibri" w:hAnsi="Calibri" w:cs="Times New Roman"/>
      <w:lang w:val="en-US" w:bidi="en-US"/>
    </w:rPr>
  </w:style>
  <w:style w:type="paragraph" w:styleId="a8">
    <w:name w:val="List Paragraph"/>
    <w:basedOn w:val="a"/>
    <w:uiPriority w:val="34"/>
    <w:qFormat/>
    <w:rsid w:val="0053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Bazhenova</dc:creator>
  <cp:keywords/>
  <dc:description/>
  <cp:lastModifiedBy>Oxana Znamenskaya</cp:lastModifiedBy>
  <cp:revision>56</cp:revision>
  <cp:lastPrinted>2018-02-08T03:58:00Z</cp:lastPrinted>
  <dcterms:created xsi:type="dcterms:W3CDTF">2018-01-21T11:22:00Z</dcterms:created>
  <dcterms:modified xsi:type="dcterms:W3CDTF">2021-03-09T08:35:00Z</dcterms:modified>
</cp:coreProperties>
</file>